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default" w:ascii="宋体" w:hAnsi="宋体" w:eastAsia="宋体" w:cs="宋体"/>
          <w:b/>
          <w:sz w:val="28"/>
          <w:szCs w:val="28"/>
          <w:lang w:val="en-US" w:eastAsia="zh-CN"/>
        </w:rPr>
      </w:pPr>
      <w:bookmarkStart w:id="0" w:name="_Toc32255"/>
      <w:bookmarkStart w:id="1" w:name="_Toc23896"/>
      <w:bookmarkStart w:id="2" w:name="_Hlk92373926"/>
      <w:r>
        <w:rPr>
          <w:rFonts w:hint="eastAsia" w:ascii="宋体" w:hAnsi="宋体" w:eastAsia="宋体" w:cs="宋体"/>
          <w:b/>
          <w:bCs w:val="0"/>
          <w:sz w:val="28"/>
          <w:szCs w:val="28"/>
          <w:lang w:val="en-US" w:eastAsia="zh-CN"/>
        </w:rPr>
        <w:t>2023年山西医科大学</w:t>
      </w:r>
      <w:r>
        <w:rPr>
          <w:rFonts w:hint="eastAsia" w:ascii="宋体" w:hAnsi="宋体" w:eastAsia="宋体" w:cs="宋体"/>
          <w:b/>
          <w:bCs w:val="0"/>
          <w:color w:val="000000"/>
          <w:sz w:val="28"/>
          <w:szCs w:val="28"/>
          <w:lang w:val="en-US" w:eastAsia="zh-CN"/>
        </w:rPr>
        <w:t>ESI机构排名和科研表现力</w:t>
      </w:r>
      <w:bookmarkEnd w:id="0"/>
      <w:bookmarkEnd w:id="1"/>
    </w:p>
    <w:p>
      <w:pPr>
        <w:spacing w:line="360" w:lineRule="auto"/>
        <w:ind w:firstLine="480" w:firstLineChars="200"/>
        <w:jc w:val="both"/>
        <w:rPr>
          <w:rFonts w:hint="eastAsia" w:asciiTheme="minorEastAsia" w:hAnsiTheme="minorEastAsia" w:eastAsiaTheme="minorEastAsia" w:cstheme="minorEastAsia"/>
          <w:sz w:val="24"/>
          <w:szCs w:val="24"/>
          <w:lang w:val="en-US" w:eastAsia="zh-CN"/>
        </w:rPr>
      </w:pPr>
      <w:bookmarkStart w:id="3" w:name="_Toc9962"/>
      <w:bookmarkStart w:id="4" w:name="_Toc20844"/>
      <w:r>
        <w:rPr>
          <w:rFonts w:hint="eastAsia" w:asciiTheme="minorEastAsia" w:hAnsiTheme="minorEastAsia" w:eastAsiaTheme="minorEastAsia" w:cstheme="minorEastAsia"/>
          <w:sz w:val="24"/>
          <w:szCs w:val="24"/>
          <w:lang w:val="en-US" w:eastAsia="zh-CN"/>
        </w:rPr>
        <w:t>2023年11月科睿唯安发布了最新一期的ESI数据，本年度六期ESI数据已更新完毕，想知道2023年我校ESI学科和潜力学科科研表现力吗？请随小编了解一下吧！</w:t>
      </w:r>
    </w:p>
    <w:p>
      <w:pPr>
        <w:spacing w:line="360" w:lineRule="auto"/>
        <w:jc w:val="left"/>
        <w:outlineLvl w:val="0"/>
        <w:rPr>
          <w:rFonts w:hint="default" w:ascii="宋体" w:hAnsi="宋体" w:eastAsia="宋体" w:cs="宋体"/>
          <w:b/>
          <w:bCs w:val="0"/>
          <w:color w:val="000000"/>
          <w:sz w:val="24"/>
          <w:szCs w:val="24"/>
          <w:lang w:val="en-US" w:eastAsia="zh-CN"/>
        </w:rPr>
      </w:pPr>
      <w:r>
        <w:rPr>
          <w:rFonts w:hint="eastAsia" w:ascii="宋体" w:hAnsi="宋体" w:eastAsia="宋体" w:cs="宋体"/>
          <w:b/>
          <w:bCs w:val="0"/>
          <w:color w:val="000000"/>
          <w:sz w:val="28"/>
          <w:szCs w:val="28"/>
          <w:lang w:val="en-US" w:eastAsia="zh-CN"/>
        </w:rPr>
        <w:t xml:space="preserve">1 </w:t>
      </w:r>
      <w:r>
        <w:rPr>
          <w:rFonts w:hint="eastAsia" w:ascii="宋体" w:hAnsi="宋体" w:eastAsia="宋体" w:cs="宋体"/>
          <w:b/>
          <w:bCs w:val="0"/>
          <w:color w:val="000000"/>
          <w:sz w:val="24"/>
          <w:szCs w:val="24"/>
          <w:lang w:val="en-US" w:eastAsia="zh-CN"/>
        </w:rPr>
        <w:t>临床医学学科表现力</w:t>
      </w:r>
      <w:bookmarkEnd w:id="3"/>
      <w:bookmarkEnd w:id="4"/>
    </w:p>
    <w:p>
      <w:pPr>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2023年我校临床医学学科全球排名从1月份的1726位上升到11月份的1575</w:t>
      </w:r>
      <w:r>
        <w:rPr>
          <w:rFonts w:hint="eastAsia" w:asciiTheme="minorEastAsia" w:hAnsiTheme="minorEastAsia" w:eastAsiaTheme="minorEastAsia" w:cstheme="minorEastAsia"/>
          <w:b w:val="0"/>
          <w:bCs w:val="0"/>
          <w:sz w:val="24"/>
          <w:szCs w:val="24"/>
          <w:lang w:val="en-US" w:eastAsia="zh-CN"/>
        </w:rPr>
        <w:t>位，上升了151位。截止到2023年11月9日我校临床医学过去10年累计发文达到3587篇。本年度六期数据更新，我校临床医学发文均保持3.49%-5.29%的增速。国际机构排名和发文趋势见图1。</w:t>
      </w:r>
    </w:p>
    <w:p>
      <w:pPr>
        <w:jc w:val="center"/>
        <w:rPr>
          <w:rFonts w:hint="default" w:ascii="宋体" w:hAnsi="宋体" w:eastAsia="宋体" w:cs="宋体"/>
          <w:sz w:val="24"/>
          <w:szCs w:val="24"/>
          <w:lang w:val="en-US" w:eastAsia="zh-CN"/>
        </w:rPr>
      </w:pPr>
      <w:bookmarkStart w:id="5" w:name="_Toc27087"/>
      <w:r>
        <w:drawing>
          <wp:inline distT="0" distB="0" distL="114300" distR="114300">
            <wp:extent cx="5267325" cy="3131185"/>
            <wp:effectExtent l="4445" t="4445" r="5080" b="64770"/>
            <wp:docPr id="2" name="图表 1" descr="7b0a202020202263686172745265734964223a202232303437363136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图</w:t>
      </w:r>
      <w:r>
        <w:rPr>
          <w:rFonts w:hint="eastAsia" w:ascii="宋体" w:hAnsi="宋体" w:eastAsia="宋体" w:cs="宋体"/>
          <w:sz w:val="24"/>
          <w:szCs w:val="24"/>
          <w:lang w:val="en-US" w:eastAsia="zh-CN"/>
        </w:rPr>
        <w:t>1 我校临床医学国际机构排名和发文趋势图</w:t>
      </w:r>
    </w:p>
    <w:p>
      <w:pPr>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本年度我校临床医学学者参与研究的ESI高水平论文有20篇，出版年为2023年的发文有4篇，详情见表1。</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表1  我校临床医学高水平论文列表（出版年2023）</w:t>
      </w:r>
    </w:p>
    <w:p>
      <w:pPr>
        <w:spacing w:line="360" w:lineRule="auto"/>
        <w:jc w:val="center"/>
        <w:rPr>
          <w:rFonts w:hint="eastAsia" w:ascii="宋体" w:hAnsi="宋体" w:eastAsia="宋体" w:cs="宋体"/>
          <w:sz w:val="24"/>
          <w:szCs w:val="24"/>
          <w:lang w:val="en-US" w:eastAsia="zh-CN"/>
        </w:rPr>
      </w:pPr>
    </w:p>
    <w:p>
      <w:pPr>
        <w:spacing w:line="360" w:lineRule="auto"/>
        <w:jc w:val="center"/>
        <w:rPr>
          <w:rFonts w:hint="eastAsia" w:ascii="宋体" w:hAnsi="宋体" w:eastAsia="宋体" w:cs="宋体"/>
          <w:sz w:val="24"/>
          <w:szCs w:val="24"/>
          <w:lang w:val="en-US" w:eastAsia="zh-CN"/>
        </w:rPr>
      </w:pPr>
    </w:p>
    <w:p>
      <w:pPr>
        <w:spacing w:line="360" w:lineRule="auto"/>
        <w:jc w:val="center"/>
        <w:rPr>
          <w:rFonts w:hint="eastAsia" w:ascii="宋体" w:hAnsi="宋体" w:eastAsia="宋体" w:cs="宋体"/>
          <w:sz w:val="24"/>
          <w:szCs w:val="24"/>
          <w:lang w:val="en-US" w:eastAsia="zh-CN"/>
        </w:rPr>
      </w:pPr>
    </w:p>
    <w:p>
      <w:pPr>
        <w:spacing w:line="360" w:lineRule="auto"/>
        <w:jc w:val="center"/>
        <w:rPr>
          <w:rFonts w:hint="eastAsia" w:ascii="宋体" w:hAnsi="宋体" w:eastAsia="宋体" w:cs="宋体"/>
          <w:sz w:val="24"/>
          <w:szCs w:val="24"/>
          <w:lang w:val="en-US" w:eastAsia="zh-CN"/>
        </w:rPr>
      </w:pPr>
    </w:p>
    <w:p>
      <w:pPr>
        <w:spacing w:line="360" w:lineRule="auto"/>
        <w:jc w:val="center"/>
        <w:rPr>
          <w:rFonts w:hint="eastAsia" w:ascii="宋体" w:hAnsi="宋体" w:eastAsia="宋体" w:cs="宋体"/>
          <w:sz w:val="24"/>
          <w:szCs w:val="24"/>
          <w:lang w:val="en-US" w:eastAsia="zh-CN"/>
        </w:rPr>
      </w:pPr>
    </w:p>
    <w:p>
      <w:pPr>
        <w:spacing w:line="360" w:lineRule="auto"/>
        <w:jc w:val="center"/>
        <w:rPr>
          <w:rFonts w:hint="eastAsia" w:ascii="宋体" w:hAnsi="宋体" w:eastAsia="宋体" w:cs="宋体"/>
          <w:sz w:val="24"/>
          <w:szCs w:val="24"/>
          <w:lang w:val="en-US" w:eastAsia="zh-CN"/>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11"/>
        <w:gridCol w:w="1763"/>
        <w:gridCol w:w="1412"/>
        <w:gridCol w:w="688"/>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trPr>
        <w:tc>
          <w:tcPr>
            <w:tcW w:w="176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论文标题</w:t>
            </w:r>
          </w:p>
        </w:tc>
        <w:tc>
          <w:tcPr>
            <w:tcW w:w="1034"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我校参与学者</w:t>
            </w:r>
          </w:p>
        </w:tc>
        <w:tc>
          <w:tcPr>
            <w:tcW w:w="828"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来源</w:t>
            </w:r>
          </w:p>
        </w:tc>
        <w:tc>
          <w:tcPr>
            <w:tcW w:w="403"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被引频次</w:t>
            </w:r>
          </w:p>
        </w:tc>
        <w:tc>
          <w:tcPr>
            <w:tcW w:w="96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学科规范化的引文影响力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76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Perioperative and Oncological Outcomes of Robotic Versus Open Pancreaticoduodenectomy in Low-Risk Surgical Candidates A Multicenter Propensity Score-Matched Study</w:t>
            </w:r>
          </w:p>
        </w:tc>
        <w:tc>
          <w:tcPr>
            <w:tcW w:w="1034"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Dong, Ye  Shanxi Med Univ, Affiliated Hosp 1, Dept Hepatobiliary &amp; Pancreat Surg</w:t>
            </w:r>
          </w:p>
        </w:tc>
        <w:tc>
          <w:tcPr>
            <w:tcW w:w="82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ANNALS OF SURGERY</w:t>
            </w:r>
          </w:p>
        </w:tc>
        <w:tc>
          <w:tcPr>
            <w:tcW w:w="40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6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76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Association between healthy lifestyle and memory decline in older adults: 10 year, population based, prospective cohort study</w:t>
            </w:r>
          </w:p>
        </w:tc>
        <w:tc>
          <w:tcPr>
            <w:tcW w:w="1034"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Li, Yang  Shanxi Med Univ, Hosp 1, Dept Neurol</w:t>
            </w:r>
          </w:p>
        </w:tc>
        <w:tc>
          <w:tcPr>
            <w:tcW w:w="82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BMJ-BRITISH MEDICAL JOURNAL</w:t>
            </w:r>
          </w:p>
        </w:tc>
        <w:tc>
          <w:tcPr>
            <w:tcW w:w="40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6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6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Global burden of atrial fibrillation/atrial flutter and its attributable risk factors from 1990 to 2019</w:t>
            </w:r>
          </w:p>
        </w:tc>
        <w:tc>
          <w:tcPr>
            <w:tcW w:w="1034"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Lv, Shu-Ping  Shanxi Bethune Hosp, Shanxi Acad Med Sci, Dept Cardiol</w:t>
            </w:r>
          </w:p>
        </w:tc>
        <w:tc>
          <w:tcPr>
            <w:tcW w:w="82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EUROPACE</w:t>
            </w:r>
          </w:p>
        </w:tc>
        <w:tc>
          <w:tcPr>
            <w:tcW w:w="40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6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76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Development of myocarditis and pericarditis after COVID-19 vaccination in children and adolescents: A systematic review</w:t>
            </w:r>
          </w:p>
        </w:tc>
        <w:tc>
          <w:tcPr>
            <w:tcW w:w="1034"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Murad, Muhammad W. Shanxi Med Univ, Dept Med</w:t>
            </w:r>
          </w:p>
        </w:tc>
        <w:tc>
          <w:tcPr>
            <w:tcW w:w="82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CLINICAL CARDIOLOGY</w:t>
            </w:r>
          </w:p>
        </w:tc>
        <w:tc>
          <w:tcPr>
            <w:tcW w:w="40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6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8.9793</w:t>
            </w:r>
          </w:p>
        </w:tc>
      </w:tr>
    </w:tbl>
    <w:p>
      <w:pPr>
        <w:spacing w:line="360" w:lineRule="auto"/>
        <w:ind w:firstLine="480" w:firstLineChars="200"/>
        <w:jc w:val="both"/>
        <w:rPr>
          <w:rFonts w:hint="eastAsia" w:asciiTheme="minorEastAsia" w:hAnsiTheme="minorEastAsia" w:eastAsiaTheme="minorEastAsia" w:cstheme="minorEastAsia"/>
          <w:sz w:val="24"/>
          <w:szCs w:val="24"/>
          <w:lang w:val="en-US" w:eastAsia="zh-CN"/>
        </w:rPr>
      </w:pPr>
    </w:p>
    <w:p>
      <w:pPr>
        <w:spacing w:line="360" w:lineRule="auto"/>
        <w:jc w:val="left"/>
        <w:outlineLvl w:val="0"/>
        <w:rPr>
          <w:rFonts w:hint="default" w:ascii="宋体" w:hAnsi="宋体" w:eastAsia="宋体" w:cs="宋体"/>
          <w:b/>
          <w:bCs w:val="0"/>
          <w:color w:val="000000"/>
          <w:sz w:val="24"/>
          <w:szCs w:val="24"/>
          <w:lang w:val="en-US" w:eastAsia="zh-CN"/>
        </w:rPr>
      </w:pPr>
      <w:bookmarkStart w:id="6" w:name="_Toc12684"/>
      <w:r>
        <w:rPr>
          <w:rFonts w:hint="eastAsia" w:ascii="宋体" w:hAnsi="宋体" w:eastAsia="宋体" w:cs="宋体"/>
          <w:b/>
          <w:bCs w:val="0"/>
          <w:color w:val="000000"/>
          <w:sz w:val="24"/>
          <w:szCs w:val="24"/>
          <w:lang w:val="en-US" w:eastAsia="zh-CN"/>
        </w:rPr>
        <w:t>2 神经科学与行为学学科表现力</w:t>
      </w:r>
      <w:bookmarkEnd w:id="5"/>
      <w:bookmarkEnd w:id="6"/>
    </w:p>
    <w:p>
      <w:pPr>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我校神经科学与行为学全球排名从1月份的1028</w:t>
      </w:r>
      <w:r>
        <w:rPr>
          <w:rFonts w:hint="eastAsia" w:asciiTheme="minorEastAsia" w:hAnsiTheme="minorEastAsia" w:eastAsiaTheme="minorEastAsia" w:cstheme="minorEastAsia"/>
          <w:b w:val="0"/>
          <w:bCs w:val="0"/>
          <w:sz w:val="24"/>
          <w:szCs w:val="24"/>
          <w:lang w:val="en-US" w:eastAsia="zh-CN"/>
        </w:rPr>
        <w:t>位上升到11月份的968位，上升了60位</w:t>
      </w:r>
      <w:bookmarkStart w:id="7" w:name="_Toc18781"/>
      <w:r>
        <w:rPr>
          <w:rFonts w:hint="eastAsia" w:asciiTheme="minorEastAsia" w:hAnsiTheme="minorEastAsia" w:eastAsiaTheme="minorEastAsia" w:cstheme="minorEastAsia"/>
          <w:b w:val="0"/>
          <w:bCs w:val="0"/>
          <w:sz w:val="24"/>
          <w:szCs w:val="24"/>
          <w:lang w:val="en-US" w:eastAsia="zh-CN"/>
        </w:rPr>
        <w:t>。截止到2023年11月9日我校神经科学与行为学过去10年累计发文达到688篇。本年度六期数据更新，我校神经科学与行为学发文均保持1.18%-3.42%的增速。国际机构排名和发文趋势见图2。</w:t>
      </w:r>
    </w:p>
    <w:p>
      <w:pPr>
        <w:jc w:val="center"/>
        <w:rPr>
          <w:rFonts w:hint="default" w:ascii="宋体" w:hAnsi="宋体" w:eastAsia="宋体" w:cs="宋体"/>
          <w:sz w:val="24"/>
          <w:szCs w:val="24"/>
          <w:lang w:val="en-US" w:eastAsia="zh-CN"/>
        </w:rPr>
      </w:pPr>
      <w:r>
        <w:drawing>
          <wp:inline distT="0" distB="0" distL="114300" distR="114300">
            <wp:extent cx="5227955" cy="2973705"/>
            <wp:effectExtent l="4445" t="4445" r="6350" b="50800"/>
            <wp:docPr id="1" name="图表 1" descr="7b0a202020202263686172745265734964223a202232303437363136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360" w:lineRule="auto"/>
        <w:jc w:val="center"/>
        <w:rPr>
          <w:rFonts w:hint="eastAsia" w:ascii="宋体" w:hAnsi="宋体" w:eastAsia="宋体" w:cs="宋体"/>
          <w:sz w:val="24"/>
          <w:szCs w:val="24"/>
          <w:lang w:val="en-US" w:eastAsia="zh-CN"/>
        </w:rPr>
      </w:pPr>
      <w:bookmarkStart w:id="8" w:name="_Toc18661"/>
      <w:r>
        <w:rPr>
          <w:rFonts w:hint="eastAsia" w:ascii="宋体" w:hAnsi="宋体" w:eastAsia="宋体" w:cs="宋体"/>
          <w:sz w:val="24"/>
          <w:szCs w:val="24"/>
          <w:lang w:eastAsia="zh-CN"/>
        </w:rPr>
        <w:t>图</w:t>
      </w:r>
      <w:r>
        <w:rPr>
          <w:rFonts w:hint="eastAsia" w:ascii="宋体" w:hAnsi="宋体" w:eastAsia="宋体" w:cs="宋体"/>
          <w:sz w:val="24"/>
          <w:szCs w:val="24"/>
          <w:lang w:val="en-US" w:eastAsia="zh-CN"/>
        </w:rPr>
        <w:t>2 我校神经科学与行为学国际机构排名和发文趋势图</w:t>
      </w:r>
    </w:p>
    <w:p>
      <w:pPr>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2023年科睿唯安公布的我校神经科学与行为学学者参与研究的ESI高水平论文5篇，详情见表2。</w:t>
      </w:r>
    </w:p>
    <w:p>
      <w:pPr>
        <w:tabs>
          <w:tab w:val="left" w:pos="2378"/>
        </w:tabs>
        <w:bidi w:val="0"/>
        <w:jc w:val="left"/>
        <w:rPr>
          <w:rFonts w:hint="eastAsia"/>
          <w:lang w:val="en-US" w:eastAsia="zh-CN"/>
        </w:rPr>
        <w:sectPr>
          <w:headerReference r:id="rId3" w:type="default"/>
          <w:footerReference r:id="rId4" w:type="default"/>
          <w:pgSz w:w="11906" w:h="16838"/>
          <w:pgMar w:top="1440" w:right="1800" w:bottom="1440" w:left="1800" w:header="717" w:footer="650" w:gutter="0"/>
          <w:pgBorders>
            <w:top w:val="none" w:sz="0" w:space="0"/>
            <w:left w:val="none" w:sz="0" w:space="0"/>
            <w:bottom w:val="none" w:sz="0" w:space="0"/>
            <w:right w:val="none" w:sz="0" w:space="0"/>
          </w:pgBorders>
          <w:pgNumType w:fmt="decimal"/>
          <w:cols w:space="720" w:num="1"/>
          <w:docGrid w:linePitch="299" w:charSpace="0"/>
        </w:sectPr>
      </w:pP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表2  我校神经科学与行为学高水平论文列表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525"/>
        <w:gridCol w:w="4350"/>
        <w:gridCol w:w="2100"/>
        <w:gridCol w:w="750"/>
        <w:gridCol w:w="850"/>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59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论文标题</w:t>
            </w:r>
          </w:p>
        </w:tc>
        <w:tc>
          <w:tcPr>
            <w:tcW w:w="153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我校参与学者</w:t>
            </w:r>
          </w:p>
        </w:tc>
        <w:tc>
          <w:tcPr>
            <w:tcW w:w="74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来源</w:t>
            </w:r>
          </w:p>
        </w:tc>
        <w:tc>
          <w:tcPr>
            <w:tcW w:w="2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出版年</w:t>
            </w:r>
          </w:p>
        </w:tc>
        <w:tc>
          <w:tcPr>
            <w:tcW w:w="29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被引频次</w:t>
            </w:r>
          </w:p>
        </w:tc>
        <w:tc>
          <w:tcPr>
            <w:tcW w:w="5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学科规范化的引文影响力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59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Impact on mental health and perceptions of psychological care among medical and nursing staff in Wuhan during the 2019 novel coronavirus disease outbreak: A cross-sectional study</w:t>
            </w:r>
          </w:p>
        </w:tc>
        <w:tc>
          <w:tcPr>
            <w:tcW w:w="1534"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Zhang, Kerang  Shanxi Med Univ, Dept Psychiat, Hosp 1</w:t>
            </w:r>
          </w:p>
        </w:tc>
        <w:tc>
          <w:tcPr>
            <w:tcW w:w="74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BRAIN BEHAVIOR AND IMMUNITY</w:t>
            </w:r>
          </w:p>
        </w:tc>
        <w:tc>
          <w:tcPr>
            <w:tcW w:w="2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29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5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Dementia in China: epidemiology, clinical management, and research advances</w:t>
            </w:r>
          </w:p>
        </w:tc>
        <w:tc>
          <w:tcPr>
            <w:tcW w:w="1534"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Li, Yang  Shanxi Med Univ, Hosp 1, Dept Neurol</w:t>
            </w:r>
          </w:p>
        </w:tc>
        <w:tc>
          <w:tcPr>
            <w:tcW w:w="74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LANCET NEUROLOGY</w:t>
            </w:r>
          </w:p>
        </w:tc>
        <w:tc>
          <w:tcPr>
            <w:tcW w:w="2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29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5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59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Reduced default mode network functional connectivity in patients with recurrent major depressive disorder</w:t>
            </w:r>
          </w:p>
        </w:tc>
        <w:tc>
          <w:tcPr>
            <w:tcW w:w="1534"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Zhang, Ke-Rang  Shanxi Med Univ, Hosp1</w:t>
            </w:r>
          </w:p>
        </w:tc>
        <w:tc>
          <w:tcPr>
            <w:tcW w:w="74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PROCEEDINGS OF THE NATIONAL ACADEMY OF SCIENCES OF THE UNITED STATES OF AMERICA</w:t>
            </w:r>
          </w:p>
        </w:tc>
        <w:tc>
          <w:tcPr>
            <w:tcW w:w="2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29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5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Safety and efficacy of tocilizumab versus azathioprine in highly relapsing neuromyelitis optica spectrum disorder (TANGO): an open-label, multicentre, randomised, phase 2 trial</w:t>
            </w:r>
          </w:p>
        </w:tc>
        <w:tc>
          <w:tcPr>
            <w:tcW w:w="1534"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Zhang, Meini  Shanxi Med Univ, Dept Neurol, Hosp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Ma, Hongshan  Shanxi Med Univ, Peoples Hosp Datong 3, Sch Clin Med,</w:t>
            </w:r>
          </w:p>
        </w:tc>
        <w:tc>
          <w:tcPr>
            <w:tcW w:w="74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LANCET NEUROLOGY</w:t>
            </w:r>
          </w:p>
        </w:tc>
        <w:tc>
          <w:tcPr>
            <w:tcW w:w="2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29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5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59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A1/A2 astrocytes in central nervous system injuries and diseases: Angels or devils?</w:t>
            </w:r>
          </w:p>
        </w:tc>
        <w:tc>
          <w:tcPr>
            <w:tcW w:w="1534"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Fan, Yan-Ying Shanxi Med Univ, Basic Med Sci Ctr, Dept Pharmacol；Shanxi Med Univ, Key Lab Cellular Physiol, Minist Educ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Huo, Jing Shanxi Med Univ, Basic Med Sci Ctr, Dept Pharmacol；Shanxi Med Univ, Shanxi Prov Peoples Hosp</w:t>
            </w:r>
          </w:p>
        </w:tc>
        <w:tc>
          <w:tcPr>
            <w:tcW w:w="74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NEUROCHEMISTRY INTERNATIONAL</w:t>
            </w:r>
          </w:p>
        </w:tc>
        <w:tc>
          <w:tcPr>
            <w:tcW w:w="2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29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6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8.5244</w:t>
            </w:r>
          </w:p>
        </w:tc>
      </w:tr>
    </w:tbl>
    <w:p>
      <w:pPr>
        <w:spacing w:line="360" w:lineRule="auto"/>
        <w:jc w:val="both"/>
        <w:rPr>
          <w:rFonts w:hint="eastAsia" w:ascii="宋体" w:hAnsi="宋体" w:eastAsia="宋体" w:cs="宋体"/>
          <w:sz w:val="24"/>
          <w:szCs w:val="24"/>
          <w:lang w:val="en-US" w:eastAsia="zh-CN"/>
        </w:rPr>
      </w:pPr>
    </w:p>
    <w:p>
      <w:pPr>
        <w:spacing w:line="360" w:lineRule="auto"/>
        <w:jc w:val="left"/>
        <w:outlineLvl w:val="0"/>
        <w:rPr>
          <w:rFonts w:hint="eastAsia" w:ascii="宋体" w:hAnsi="宋体" w:eastAsia="宋体" w:cs="宋体"/>
          <w:b/>
          <w:bCs w:val="0"/>
          <w:sz w:val="24"/>
          <w:szCs w:val="24"/>
          <w:lang w:val="en-US" w:eastAsia="zh-CN"/>
        </w:rPr>
        <w:sectPr>
          <w:pgSz w:w="16838" w:h="11906" w:orient="landscape"/>
          <w:pgMar w:top="1800" w:right="1440" w:bottom="1800" w:left="1440" w:header="717" w:footer="650" w:gutter="0"/>
          <w:pgBorders>
            <w:top w:val="none" w:sz="0" w:space="0"/>
            <w:left w:val="none" w:sz="0" w:space="0"/>
            <w:bottom w:val="none" w:sz="0" w:space="0"/>
            <w:right w:val="none" w:sz="0" w:space="0"/>
          </w:pgBorders>
          <w:pgNumType w:fmt="decimal"/>
          <w:cols w:space="720" w:num="1"/>
          <w:docGrid w:linePitch="299" w:charSpace="0"/>
        </w:sectPr>
      </w:pPr>
    </w:p>
    <w:p>
      <w:pPr>
        <w:spacing w:line="360" w:lineRule="auto"/>
        <w:jc w:val="left"/>
        <w:outlineLvl w:val="0"/>
        <w:rPr>
          <w:rFonts w:hint="default" w:ascii="宋体" w:hAnsi="宋体" w:eastAsia="宋体" w:cs="宋体"/>
          <w:b/>
          <w:sz w:val="24"/>
          <w:szCs w:val="24"/>
          <w:lang w:val="en-US" w:eastAsia="zh-CN"/>
        </w:rPr>
      </w:pPr>
      <w:r>
        <w:rPr>
          <w:rFonts w:hint="eastAsia" w:ascii="宋体" w:hAnsi="宋体" w:eastAsia="宋体" w:cs="宋体"/>
          <w:b/>
          <w:bCs w:val="0"/>
          <w:sz w:val="24"/>
          <w:szCs w:val="24"/>
          <w:lang w:val="en-US" w:eastAsia="zh-CN"/>
        </w:rPr>
        <w:t>3 药理学和毒理学</w:t>
      </w:r>
      <w:r>
        <w:rPr>
          <w:rFonts w:hint="eastAsia" w:ascii="宋体" w:hAnsi="宋体" w:eastAsia="宋体" w:cs="宋体"/>
          <w:b/>
          <w:bCs w:val="0"/>
          <w:color w:val="000000"/>
          <w:sz w:val="24"/>
          <w:szCs w:val="24"/>
          <w:lang w:val="en-US" w:eastAsia="zh-CN"/>
        </w:rPr>
        <w:t>学科表现力</w:t>
      </w:r>
      <w:bookmarkEnd w:id="7"/>
      <w:bookmarkEnd w:id="8"/>
    </w:p>
    <w:p>
      <w:pPr>
        <w:spacing w:line="360" w:lineRule="auto"/>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lang w:val="en-US" w:eastAsia="zh-CN"/>
        </w:rPr>
        <w:t>我校药理学和毒理学</w:t>
      </w:r>
      <w:r>
        <w:rPr>
          <w:rFonts w:hint="eastAsia" w:asciiTheme="minorEastAsia" w:hAnsiTheme="minorEastAsia" w:eastAsiaTheme="minorEastAsia" w:cstheme="minorEastAsia"/>
          <w:b w:val="0"/>
          <w:bCs w:val="0"/>
          <w:sz w:val="24"/>
          <w:szCs w:val="24"/>
          <w:lang w:val="en-US" w:eastAsia="zh-CN"/>
        </w:rPr>
        <w:t>全球排名从1月份的846位上升到11月份的755位，上升了91位。截止到2023年11月9日我校药理学和毒理学过去10年累计发文达到697篇。本年度六期数据更新，我校药理学和毒理学发文均保持1.14%-5.94%的增速。国际机构排名和发文趋势见图3。</w:t>
      </w:r>
    </w:p>
    <w:p>
      <w:pPr>
        <w:spacing w:line="360" w:lineRule="auto"/>
        <w:jc w:val="both"/>
        <w:rPr>
          <w:rFonts w:hint="eastAsia" w:asciiTheme="minorEastAsia" w:hAnsiTheme="minorEastAsia" w:eastAsiaTheme="minorEastAsia" w:cstheme="minorEastAsia"/>
          <w:b/>
          <w:bCs/>
          <w:sz w:val="24"/>
          <w:szCs w:val="24"/>
          <w:lang w:val="en-US" w:eastAsia="zh-CN"/>
        </w:rPr>
      </w:pPr>
      <w:r>
        <w:drawing>
          <wp:inline distT="0" distB="0" distL="114300" distR="114300">
            <wp:extent cx="5253990" cy="3041650"/>
            <wp:effectExtent l="4445" t="4445" r="18415" b="59055"/>
            <wp:docPr id="3" name="图表 1" descr="7b0a202020202263686172745265734964223a202232303437363136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图3 我校药理学和毒理学国际机构排名和发文趋势图</w:t>
      </w:r>
    </w:p>
    <w:p>
      <w:pPr>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2023年公布的我校药理学和毒理学学者参与研究的ESI高水平论文3篇，详情见表3。</w:t>
      </w:r>
    </w:p>
    <w:p>
      <w:pPr>
        <w:jc w:val="center"/>
        <w:rPr>
          <w:rFonts w:hint="eastAsia" w:ascii="宋体" w:hAnsi="宋体" w:eastAsia="宋体" w:cs="宋体"/>
          <w:sz w:val="24"/>
          <w:szCs w:val="24"/>
          <w:lang w:val="en-US" w:eastAsia="zh-CN"/>
        </w:rPr>
        <w:sectPr>
          <w:pgSz w:w="11906" w:h="16838"/>
          <w:pgMar w:top="1440" w:right="1800" w:bottom="1440" w:left="1800" w:header="717" w:footer="650" w:gutter="0"/>
          <w:pgBorders>
            <w:top w:val="none" w:sz="0" w:space="0"/>
            <w:left w:val="none" w:sz="0" w:space="0"/>
            <w:bottom w:val="none" w:sz="0" w:space="0"/>
            <w:right w:val="none" w:sz="0" w:space="0"/>
          </w:pgBorders>
          <w:pgNumType w:fmt="decimal"/>
          <w:cols w:space="720" w:num="1"/>
          <w:docGrid w:linePitch="299" w:charSpace="0"/>
        </w:sectPr>
      </w:pP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表3  我校药理学和毒理学高水平论文列表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75"/>
        <w:gridCol w:w="5275"/>
        <w:gridCol w:w="1662"/>
        <w:gridCol w:w="713"/>
        <w:gridCol w:w="812"/>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47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论文标题</w:t>
            </w:r>
          </w:p>
        </w:tc>
        <w:tc>
          <w:tcPr>
            <w:tcW w:w="186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我校参与学者</w:t>
            </w:r>
          </w:p>
        </w:tc>
        <w:tc>
          <w:tcPr>
            <w:tcW w:w="5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来源</w:t>
            </w:r>
          </w:p>
        </w:tc>
        <w:tc>
          <w:tcPr>
            <w:tcW w:w="25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出版年</w:t>
            </w:r>
          </w:p>
        </w:tc>
        <w:tc>
          <w:tcPr>
            <w:tcW w:w="2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被引频次</w:t>
            </w:r>
          </w:p>
        </w:tc>
        <w:tc>
          <w:tcPr>
            <w:tcW w:w="54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学科规范化的引文影响力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Lactobacillus acidophilus ameliorates obesity in mice through modulation of gut microbiota dysbiosis and intestinal permeability</w:t>
            </w:r>
          </w:p>
        </w:tc>
        <w:tc>
          <w:tcPr>
            <w:tcW w:w="1860"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Kang, Yongbo; Kang, Xing; Yang, Hao; Liu, Haixia; Yang, Xiaodan; Liu, Qingqing; Tian, Haixia; Xue, Yang; Ren, Peng; Kuang, Xiaoyu; Cai, Yue; Tong, Mingwei; Li, Lin; Fan, Weiping  Shanxi Med Univ, Sch Basic Med Sci, Dept Microbiol &amp; Immunol</w:t>
            </w:r>
          </w:p>
        </w:tc>
        <w:tc>
          <w:tcPr>
            <w:tcW w:w="58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PHARMACOLOGICAL RESEARCH</w:t>
            </w:r>
          </w:p>
        </w:tc>
        <w:tc>
          <w:tcPr>
            <w:tcW w:w="25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2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4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4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Targeting JAK-STAT Signaling to Control Cytokine Release Syndrome in COVID-19</w:t>
            </w:r>
          </w:p>
        </w:tc>
        <w:tc>
          <w:tcPr>
            <w:tcW w:w="1860"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Luo, Wei; Li, Yi-Xin;Ye, Da-wei Shanxi Med Univ, Shanxi Acad Med Sci, Shanxi Bethune Hosp</w:t>
            </w:r>
          </w:p>
        </w:tc>
        <w:tc>
          <w:tcPr>
            <w:tcW w:w="58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TRENDS IN PHARMACOLOGICAL SCIENCES</w:t>
            </w:r>
          </w:p>
        </w:tc>
        <w:tc>
          <w:tcPr>
            <w:tcW w:w="25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2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54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472"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Discovery of direct inhibitors of Keap1-Nrf2 protein-protein interaction as potential therapeutic and preventive agents</w:t>
            </w:r>
          </w:p>
        </w:tc>
        <w:tc>
          <w:tcPr>
            <w:tcW w:w="1860"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Hu, Longqin Shanxi Med Univ, Sch Pharmaceut Sci</w:t>
            </w:r>
          </w:p>
        </w:tc>
        <w:tc>
          <w:tcPr>
            <w:tcW w:w="586"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ACTA PHARMACEUTICA SINICA B</w:t>
            </w:r>
          </w:p>
        </w:tc>
        <w:tc>
          <w:tcPr>
            <w:tcW w:w="25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w:t>
            </w:r>
          </w:p>
        </w:tc>
        <w:tc>
          <w:tcPr>
            <w:tcW w:w="2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542"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3.3973</w:t>
            </w:r>
          </w:p>
        </w:tc>
      </w:tr>
    </w:tbl>
    <w:p>
      <w:pPr>
        <w:jc w:val="both"/>
        <w:rPr>
          <w:rFonts w:hint="eastAsia" w:ascii="宋体" w:hAnsi="宋体" w:eastAsia="宋体" w:cs="宋体"/>
          <w:sz w:val="24"/>
          <w:szCs w:val="24"/>
          <w:lang w:val="en-US" w:eastAsia="zh-CN"/>
        </w:rPr>
      </w:pPr>
    </w:p>
    <w:p>
      <w:pPr>
        <w:spacing w:line="360" w:lineRule="auto"/>
        <w:jc w:val="left"/>
        <w:outlineLvl w:val="0"/>
        <w:rPr>
          <w:rFonts w:hint="eastAsia" w:ascii="宋体" w:hAnsi="宋体" w:eastAsia="宋体" w:cs="宋体"/>
          <w:b/>
          <w:bCs w:val="0"/>
          <w:sz w:val="24"/>
          <w:szCs w:val="24"/>
          <w:lang w:val="en-US" w:eastAsia="zh-CN"/>
        </w:rPr>
        <w:sectPr>
          <w:pgSz w:w="16838" w:h="11906" w:orient="landscape"/>
          <w:pgMar w:top="1800" w:right="1440" w:bottom="1800" w:left="1440" w:header="717" w:footer="650" w:gutter="0"/>
          <w:pgBorders>
            <w:top w:val="none" w:sz="0" w:space="0"/>
            <w:left w:val="none" w:sz="0" w:space="0"/>
            <w:bottom w:val="none" w:sz="0" w:space="0"/>
            <w:right w:val="none" w:sz="0" w:space="0"/>
          </w:pgBorders>
          <w:pgNumType w:fmt="decimal"/>
          <w:cols w:space="720" w:num="1"/>
          <w:docGrid w:linePitch="299" w:charSpace="0"/>
        </w:sectPr>
      </w:pPr>
      <w:bookmarkStart w:id="9" w:name="_Toc17953"/>
      <w:bookmarkStart w:id="10" w:name="_Toc20078"/>
    </w:p>
    <w:p>
      <w:pPr>
        <w:spacing w:line="360" w:lineRule="auto"/>
        <w:jc w:val="left"/>
        <w:outlineLvl w:val="0"/>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4 我校潜力学科表现力</w:t>
      </w:r>
      <w:bookmarkEnd w:id="9"/>
      <w:bookmarkEnd w:id="10"/>
    </w:p>
    <w:p>
      <w:pPr>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通过InCites数据库获取我校各学科发文的被引</w:t>
      </w:r>
      <w:r>
        <w:rPr>
          <w:rFonts w:hint="eastAsia" w:asciiTheme="minorEastAsia" w:hAnsiTheme="minorEastAsia" w:eastAsiaTheme="minorEastAsia" w:cstheme="minorEastAsia"/>
          <w:b w:val="0"/>
          <w:bCs w:val="0"/>
          <w:sz w:val="24"/>
          <w:szCs w:val="24"/>
          <w:lang w:val="en-US" w:eastAsia="zh-CN"/>
        </w:rPr>
        <w:t xml:space="preserve">频次，从而估算出各学科进入ESI全球前1%的潜力值。根据2023年更新的ESI数据，我校靠近ESI门槛值Top3学科为生物学和生物化学、社会科学总论和化学。我校生物学与生物化学学科与ESI最新阈值的接近度为102.04%，是接下来最有潜力进入ESI全球前1%的学科。我校靠近ESI门槛值Top3学科的学科表现力见图4。 </w:t>
      </w:r>
    </w:p>
    <w:p>
      <w:pPr>
        <w:autoSpaceDE/>
        <w:autoSpaceDN/>
        <w:spacing w:line="360" w:lineRule="auto"/>
        <w:jc w:val="center"/>
        <w:outlineLvl w:val="9"/>
      </w:pPr>
      <w:r>
        <w:drawing>
          <wp:inline distT="0" distB="0" distL="114300" distR="114300">
            <wp:extent cx="5268595" cy="3835400"/>
            <wp:effectExtent l="4445" t="4445" r="22860" b="65405"/>
            <wp:docPr id="11287" name="图表 1" descr="7b0a202020202263686172745265734964223a202232303437363136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图4 我校潜力学科潜力值趋势图</w:t>
      </w:r>
    </w:p>
    <w:p>
      <w:pPr>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2023年公布的我校生物学和生物化学学者参与研究的ESI高水平论文2篇，详情见表4。</w:t>
      </w:r>
    </w:p>
    <w:p>
      <w:pPr>
        <w:spacing w:line="360" w:lineRule="auto"/>
        <w:jc w:val="center"/>
        <w:rPr>
          <w:rFonts w:hint="eastAsia" w:ascii="宋体" w:hAnsi="宋体" w:eastAsia="宋体" w:cs="宋体"/>
          <w:sz w:val="24"/>
          <w:szCs w:val="24"/>
          <w:lang w:val="en-US" w:eastAsia="zh-CN"/>
        </w:rPr>
        <w:sectPr>
          <w:pgSz w:w="11906" w:h="16838"/>
          <w:pgMar w:top="1440" w:right="1800" w:bottom="1440" w:left="1800" w:header="717" w:footer="650" w:gutter="0"/>
          <w:pgBorders>
            <w:top w:val="none" w:sz="0" w:space="0"/>
            <w:left w:val="none" w:sz="0" w:space="0"/>
            <w:bottom w:val="none" w:sz="0" w:space="0"/>
            <w:right w:val="none" w:sz="0" w:space="0"/>
          </w:pgBorders>
          <w:pgNumType w:fmt="decimal"/>
          <w:cols w:space="720" w:num="1"/>
          <w:docGrid w:linePitch="299" w:charSpace="0"/>
        </w:sectPr>
      </w:pPr>
    </w:p>
    <w:p>
      <w:pPr>
        <w:spacing w:line="360" w:lineRule="auto"/>
        <w:jc w:val="center"/>
        <w:rPr>
          <w:rFonts w:hint="eastAsia"/>
          <w:lang w:val="en-US" w:eastAsia="zh-CN"/>
        </w:rPr>
      </w:pPr>
      <w:bookmarkStart w:id="16" w:name="_GoBack"/>
      <w:r>
        <w:rPr>
          <w:rFonts w:hint="eastAsia" w:ascii="宋体" w:hAnsi="宋体" w:eastAsia="宋体" w:cs="宋体"/>
          <w:sz w:val="24"/>
          <w:szCs w:val="24"/>
          <w:lang w:val="en-US" w:eastAsia="zh-CN"/>
        </w:rPr>
        <w:t>表4  我校生物学和生物化学高水平论文列表</w:t>
      </w:r>
    </w:p>
    <w:bookmarkEnd w:id="16"/>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837"/>
        <w:gridCol w:w="2713"/>
        <w:gridCol w:w="1575"/>
        <w:gridCol w:w="1075"/>
        <w:gridCol w:w="1100"/>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5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bookmarkStart w:id="11" w:name="_Toc28488"/>
            <w:bookmarkStart w:id="12" w:name="_Toc1348"/>
            <w:r>
              <w:rPr>
                <w:rFonts w:hint="eastAsia" w:ascii="宋体" w:hAnsi="宋体" w:eastAsia="宋体" w:cs="宋体"/>
                <w:i w:val="0"/>
                <w:iCs w:val="0"/>
                <w:color w:val="000000"/>
                <w:kern w:val="0"/>
                <w:sz w:val="22"/>
                <w:szCs w:val="22"/>
                <w:u w:val="none"/>
                <w:lang w:val="en-US" w:eastAsia="zh-CN" w:bidi="ar"/>
              </w:rPr>
              <w:t>论文标题</w:t>
            </w:r>
          </w:p>
        </w:tc>
        <w:tc>
          <w:tcPr>
            <w:tcW w:w="95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我校参与学者</w:t>
            </w:r>
          </w:p>
        </w:tc>
        <w:tc>
          <w:tcPr>
            <w:tcW w:w="5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来源</w:t>
            </w:r>
          </w:p>
        </w:tc>
        <w:tc>
          <w:tcPr>
            <w:tcW w:w="3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出版年</w:t>
            </w:r>
          </w:p>
        </w:tc>
        <w:tc>
          <w:tcPr>
            <w:tcW w:w="38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被引频次</w:t>
            </w:r>
          </w:p>
        </w:tc>
        <w:tc>
          <w:tcPr>
            <w:tcW w:w="66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学科规范化的引文影响力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059"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Efficacy and Safety of Long-Term Universal Salt Iodization on Thyroid Disorders: Epidemiological Evidence from 31 Provinces of Mainland China</w:t>
            </w:r>
          </w:p>
        </w:tc>
        <w:tc>
          <w:tcPr>
            <w:tcW w:w="95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Yang, Jing  Shanxi Med Univ, Hosp 1, Dept Endocrinol</w:t>
            </w:r>
          </w:p>
        </w:tc>
        <w:tc>
          <w:tcPr>
            <w:tcW w:w="5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THYROID</w:t>
            </w:r>
          </w:p>
        </w:tc>
        <w:tc>
          <w:tcPr>
            <w:tcW w:w="3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2020</w:t>
            </w:r>
          </w:p>
        </w:tc>
        <w:tc>
          <w:tcPr>
            <w:tcW w:w="38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134</w:t>
            </w:r>
          </w:p>
        </w:tc>
        <w:tc>
          <w:tcPr>
            <w:tcW w:w="66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9.6616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59"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Mitochondrial Reactive Oxygen Species and Their Contribution in Chronic Kidney Disease Progression Through Oxidative Stress</w:t>
            </w:r>
          </w:p>
        </w:tc>
        <w:tc>
          <w:tcPr>
            <w:tcW w:w="957" w:type="pct"/>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Xu, Weiwei；Li, Rongshan  Shanxi Med Univ</w:t>
            </w:r>
          </w:p>
        </w:tc>
        <w:tc>
          <w:tcPr>
            <w:tcW w:w="55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FRONTIERS IN PHYSIOLOGY</w:t>
            </w:r>
          </w:p>
        </w:tc>
        <w:tc>
          <w:tcPr>
            <w:tcW w:w="37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2021</w:t>
            </w:r>
          </w:p>
        </w:tc>
        <w:tc>
          <w:tcPr>
            <w:tcW w:w="38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88</w:t>
            </w:r>
          </w:p>
        </w:tc>
        <w:tc>
          <w:tcPr>
            <w:tcW w:w="66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zh-CN"/>
              </w:rPr>
            </w:pPr>
            <w:r>
              <w:rPr>
                <w:rFonts w:hint="eastAsia" w:ascii="宋体" w:hAnsi="宋体" w:eastAsia="宋体" w:cs="宋体"/>
                <w:i w:val="0"/>
                <w:iCs w:val="0"/>
                <w:color w:val="000000"/>
                <w:kern w:val="0"/>
                <w:sz w:val="22"/>
                <w:szCs w:val="22"/>
                <w:u w:val="none"/>
                <w:lang w:val="en-US" w:eastAsia="zh-CN" w:bidi="ar"/>
              </w:rPr>
              <w:t>6.0156</w:t>
            </w:r>
          </w:p>
        </w:tc>
      </w:tr>
    </w:tbl>
    <w:p>
      <w:pPr>
        <w:spacing w:line="360" w:lineRule="auto"/>
        <w:jc w:val="left"/>
        <w:outlineLvl w:val="0"/>
        <w:rPr>
          <w:rFonts w:hint="eastAsia" w:ascii="宋体" w:hAnsi="宋体" w:eastAsia="宋体" w:cs="宋体"/>
          <w:b/>
          <w:bCs w:val="0"/>
          <w:sz w:val="28"/>
          <w:szCs w:val="28"/>
          <w:lang w:val="en-US" w:eastAsia="zh-CN"/>
        </w:rPr>
      </w:pPr>
    </w:p>
    <w:p>
      <w:pPr>
        <w:spacing w:line="360" w:lineRule="auto"/>
        <w:jc w:val="left"/>
        <w:outlineLvl w:val="0"/>
        <w:rPr>
          <w:rFonts w:hint="eastAsia" w:ascii="宋体" w:hAnsi="宋体" w:eastAsia="宋体" w:cs="宋体"/>
          <w:b/>
          <w:bCs w:val="0"/>
          <w:sz w:val="28"/>
          <w:szCs w:val="28"/>
          <w:lang w:val="en-US" w:eastAsia="zh-CN"/>
        </w:rPr>
        <w:sectPr>
          <w:pgSz w:w="16838" w:h="11906" w:orient="landscape"/>
          <w:pgMar w:top="1800" w:right="1440" w:bottom="1800" w:left="1440" w:header="717" w:footer="650" w:gutter="0"/>
          <w:pgBorders>
            <w:top w:val="none" w:sz="0" w:space="0"/>
            <w:left w:val="none" w:sz="0" w:space="0"/>
            <w:bottom w:val="none" w:sz="0" w:space="0"/>
            <w:right w:val="none" w:sz="0" w:space="0"/>
          </w:pgBorders>
          <w:pgNumType w:fmt="decimal"/>
          <w:cols w:space="720" w:num="1"/>
          <w:docGrid w:linePitch="299" w:charSpace="0"/>
        </w:sectPr>
      </w:pPr>
    </w:p>
    <w:p>
      <w:pPr>
        <w:spacing w:line="360" w:lineRule="auto"/>
        <w:jc w:val="left"/>
        <w:outlineLvl w:val="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5 指标解释</w:t>
      </w:r>
      <w:bookmarkEnd w:id="11"/>
      <w:bookmarkStart w:id="13" w:name="_bookmark10"/>
      <w:bookmarkEnd w:id="13"/>
      <w:bookmarkStart w:id="14" w:name="_Toc23789"/>
      <w:r>
        <w:rPr>
          <w:rFonts w:hint="eastAsia" w:ascii="宋体" w:hAnsi="宋体" w:eastAsia="宋体" w:cs="宋体"/>
          <w:b/>
          <w:bCs w:val="0"/>
          <w:sz w:val="24"/>
          <w:szCs w:val="24"/>
          <w:lang w:val="en-US" w:eastAsia="zh-CN"/>
        </w:rPr>
        <w:t>与数据来源</w:t>
      </w:r>
      <w:bookmarkEnd w:id="12"/>
      <w:bookmarkEnd w:id="14"/>
      <w:r>
        <w:rPr>
          <w:rFonts w:hint="eastAsia" w:ascii="宋体" w:hAnsi="宋体" w:eastAsia="宋体" w:cs="宋体"/>
          <w:b/>
          <w:bCs w:val="0"/>
          <w:sz w:val="24"/>
          <w:szCs w:val="24"/>
          <w:lang w:val="en-US" w:eastAsia="zh-CN"/>
        </w:rPr>
        <w:t xml:space="preserve"> </w:t>
      </w:r>
    </w:p>
    <w:p>
      <w:pPr>
        <w:numPr>
          <w:ilvl w:val="0"/>
          <w:numId w:val="1"/>
        </w:numPr>
        <w:spacing w:line="360" w:lineRule="auto"/>
        <w:ind w:left="420" w:leftChars="0" w:hanging="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高水平论文（Top Papers）：包括ESI高被引论文和ESI热点论文。ESI高被引论文是指按照同一年同一个ESI学科发表论文的被引用次数由高到低进行排序，排在前1%的论文。ESI热点论文是指近2年内发表且在近2个月内被引频次进入相应学科领域全球前0.1%以内的论文。</w:t>
      </w:r>
    </w:p>
    <w:p>
      <w:pPr>
        <w:numPr>
          <w:ilvl w:val="0"/>
          <w:numId w:val="1"/>
        </w:numPr>
        <w:spacing w:line="360" w:lineRule="auto"/>
        <w:ind w:left="420" w:leftChars="0" w:hanging="420" w:firstLineChars="0"/>
        <w:jc w:val="both"/>
        <w:rPr>
          <w:rFonts w:hint="eastAsia" w:ascii="宋体" w:hAnsi="宋体" w:eastAsia="宋体" w:cs="宋体"/>
          <w:sz w:val="24"/>
          <w:szCs w:val="24"/>
          <w:lang w:val="en-US" w:eastAsia="zh-CN"/>
        </w:rPr>
      </w:pPr>
      <w:r>
        <w:rPr>
          <w:rFonts w:hint="eastAsia" w:asciiTheme="majorEastAsia" w:hAnsiTheme="majorEastAsia" w:eastAsiaTheme="majorEastAsia" w:cstheme="majorEastAsia"/>
        </w:rPr>
        <w:t>学科规范化引文影响力（CNCI）：一篇文献学科规范化引文影响力是通过其实际被引次数除以同文献类型、同 出版年、同学科领域文献的期望被引次数获得的。当一篇文献被划归至多于一个学科领域时，则使用实际被引次数与期望被引次数比值的平均值。一组文献的</w:t>
      </w:r>
      <w:r>
        <w:rPr>
          <w:rFonts w:hint="eastAsia" w:asciiTheme="majorEastAsia" w:hAnsiTheme="majorEastAsia" w:eastAsiaTheme="majorEastAsia" w:cstheme="majorEastAsia"/>
          <w:spacing w:val="-7"/>
        </w:rPr>
        <w:t xml:space="preserve">CNCI， </w:t>
      </w:r>
      <w:r>
        <w:rPr>
          <w:rFonts w:hint="eastAsia" w:asciiTheme="majorEastAsia" w:hAnsiTheme="majorEastAsia" w:eastAsiaTheme="majorEastAsia" w:cstheme="majorEastAsia"/>
          <w:spacing w:val="-3"/>
        </w:rPr>
        <w:t>例如某个人、某个机构或国家，是该组中每篇文献CNCI</w:t>
      </w:r>
      <w:r>
        <w:rPr>
          <w:rFonts w:hint="eastAsia" w:asciiTheme="majorEastAsia" w:hAnsiTheme="majorEastAsia" w:eastAsiaTheme="majorEastAsia" w:cstheme="majorEastAsia"/>
          <w:spacing w:val="-8"/>
        </w:rPr>
        <w:t>的平均值。</w:t>
      </w:r>
      <w:r>
        <w:rPr>
          <w:rFonts w:hint="eastAsia" w:asciiTheme="majorEastAsia" w:hAnsiTheme="majorEastAsia" w:eastAsiaTheme="majorEastAsia" w:cstheme="majorEastAsia"/>
          <w:spacing w:val="-6"/>
        </w:rPr>
        <w:t>CNCI</w:t>
      </w:r>
      <w:r>
        <w:rPr>
          <w:rFonts w:hint="eastAsia" w:asciiTheme="majorEastAsia" w:hAnsiTheme="majorEastAsia" w:eastAsiaTheme="majorEastAsia" w:cstheme="majorEastAsia"/>
          <w:spacing w:val="-9"/>
        </w:rPr>
        <w:t>是一个十分有价值且无偏的影响力指标，它排除了出版年、学科领域与文献类型的影响。如果</w:t>
      </w:r>
      <w:r>
        <w:rPr>
          <w:rFonts w:hint="eastAsia" w:asciiTheme="majorEastAsia" w:hAnsiTheme="majorEastAsia" w:eastAsiaTheme="majorEastAsia" w:cstheme="majorEastAsia"/>
          <w:spacing w:val="6"/>
        </w:rPr>
        <w:t>CNCI</w:t>
      </w:r>
      <w:r>
        <w:rPr>
          <w:rFonts w:hint="eastAsia" w:asciiTheme="majorEastAsia" w:hAnsiTheme="majorEastAsia" w:eastAsiaTheme="majorEastAsia" w:cstheme="majorEastAsia"/>
          <w:spacing w:val="-8"/>
        </w:rPr>
        <w:t>的值等于</w:t>
      </w:r>
      <w:r>
        <w:rPr>
          <w:rFonts w:hint="eastAsia" w:asciiTheme="majorEastAsia" w:hAnsiTheme="majorEastAsia" w:eastAsiaTheme="majorEastAsia" w:cstheme="majorEastAsia"/>
          <w:spacing w:val="-4"/>
        </w:rPr>
        <w:t>1</w:t>
      </w:r>
      <w:r>
        <w:rPr>
          <w:rFonts w:hint="eastAsia" w:asciiTheme="majorEastAsia" w:hAnsiTheme="majorEastAsia" w:eastAsiaTheme="majorEastAsia" w:cstheme="majorEastAsia"/>
          <w:spacing w:val="-3"/>
        </w:rPr>
        <w:t>，说明该组论文的被引表现与全球平均水平相当</w:t>
      </w:r>
      <w:r>
        <w:rPr>
          <w:rFonts w:hint="eastAsia" w:asciiTheme="majorEastAsia" w:hAnsiTheme="majorEastAsia" w:eastAsiaTheme="majorEastAsia" w:cstheme="majorEastAsia"/>
          <w:spacing w:val="-3"/>
          <w:lang w:eastAsia="zh-CN"/>
        </w:rPr>
        <w:t>；</w:t>
      </w:r>
      <w:r>
        <w:rPr>
          <w:rFonts w:hint="eastAsia" w:asciiTheme="majorEastAsia" w:hAnsiTheme="majorEastAsia" w:eastAsiaTheme="majorEastAsia" w:cstheme="majorEastAsia"/>
          <w:spacing w:val="-5"/>
        </w:rPr>
        <w:t>CNCI</w:t>
      </w:r>
      <w:r>
        <w:rPr>
          <w:rFonts w:hint="eastAsia" w:asciiTheme="majorEastAsia" w:hAnsiTheme="majorEastAsia" w:eastAsiaTheme="majorEastAsia" w:cstheme="majorEastAsia"/>
          <w:spacing w:val="-15"/>
        </w:rPr>
        <w:t>大于</w:t>
      </w:r>
      <w:r>
        <w:rPr>
          <w:rFonts w:hint="eastAsia" w:asciiTheme="majorEastAsia" w:hAnsiTheme="majorEastAsia" w:eastAsiaTheme="majorEastAsia" w:cstheme="majorEastAsia"/>
        </w:rPr>
        <w:t>1表明该组论文的被引表现高于全球平均水平；小于</w:t>
      </w:r>
      <w:r>
        <w:rPr>
          <w:rFonts w:hint="eastAsia" w:asciiTheme="majorEastAsia" w:hAnsiTheme="majorEastAsia" w:eastAsiaTheme="majorEastAsia" w:cstheme="majorEastAsia"/>
          <w:spacing w:val="-4"/>
        </w:rPr>
        <w:t>1</w:t>
      </w:r>
      <w:r>
        <w:rPr>
          <w:rFonts w:hint="eastAsia" w:asciiTheme="majorEastAsia" w:hAnsiTheme="majorEastAsia" w:eastAsiaTheme="majorEastAsia" w:cstheme="majorEastAsia"/>
          <w:spacing w:val="-2"/>
        </w:rPr>
        <w:t>，则低于全球平均水平</w:t>
      </w:r>
      <w:r>
        <w:rPr>
          <w:rFonts w:hint="eastAsia" w:asciiTheme="majorEastAsia" w:hAnsiTheme="majorEastAsia" w:eastAsiaTheme="majorEastAsia" w:cstheme="majorEastAsia"/>
          <w:spacing w:val="-2"/>
          <w:lang w:eastAsia="zh-CN"/>
        </w:rPr>
        <w:t>；</w:t>
      </w:r>
      <w:r>
        <w:rPr>
          <w:rFonts w:hint="eastAsia" w:asciiTheme="majorEastAsia" w:hAnsiTheme="majorEastAsia" w:eastAsiaTheme="majorEastAsia" w:cstheme="majorEastAsia"/>
          <w:spacing w:val="-2"/>
          <w:lang w:val="en-US" w:eastAsia="zh-CN"/>
        </w:rPr>
        <w:t>C</w:t>
      </w:r>
      <w:r>
        <w:rPr>
          <w:rFonts w:hint="eastAsia" w:asciiTheme="majorEastAsia" w:hAnsiTheme="majorEastAsia" w:eastAsiaTheme="majorEastAsia" w:cstheme="majorEastAsia"/>
          <w:spacing w:val="-8"/>
        </w:rPr>
        <w:t>NCI</w:t>
      </w:r>
      <w:r>
        <w:rPr>
          <w:rFonts w:hint="eastAsia" w:asciiTheme="majorEastAsia" w:hAnsiTheme="majorEastAsia" w:eastAsiaTheme="majorEastAsia" w:cstheme="majorEastAsia"/>
          <w:spacing w:val="-9"/>
        </w:rPr>
        <w:t xml:space="preserve">等于 </w:t>
      </w:r>
      <w:r>
        <w:rPr>
          <w:rFonts w:hint="eastAsia" w:asciiTheme="majorEastAsia" w:hAnsiTheme="majorEastAsia" w:eastAsiaTheme="majorEastAsia" w:cstheme="majorEastAsia"/>
          <w:spacing w:val="4"/>
        </w:rPr>
        <w:t>2</w:t>
      </w:r>
      <w:r>
        <w:rPr>
          <w:rFonts w:hint="eastAsia" w:asciiTheme="majorEastAsia" w:hAnsiTheme="majorEastAsia" w:eastAsiaTheme="majorEastAsia" w:cstheme="majorEastAsia"/>
          <w:spacing w:val="-3"/>
        </w:rPr>
        <w:t>，表明该组论文的平均被引表现为全球平均水平的2倍</w:t>
      </w:r>
      <w:r>
        <w:rPr>
          <w:rFonts w:hint="eastAsia" w:asciiTheme="majorEastAsia" w:hAnsiTheme="majorEastAsia" w:eastAsiaTheme="majorEastAsia" w:cstheme="majorEastAsia"/>
          <w:spacing w:val="-22"/>
        </w:rPr>
        <w:t>。</w:t>
      </w:r>
      <w:bookmarkStart w:id="15" w:name="_bookmark11"/>
      <w:bookmarkEnd w:id="15"/>
    </w:p>
    <w:p>
      <w:pPr>
        <w:numPr>
          <w:ilvl w:val="0"/>
          <w:numId w:val="1"/>
        </w:numPr>
        <w:spacing w:line="360" w:lineRule="auto"/>
        <w:ind w:left="420" w:leftChars="0" w:hanging="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数据来源：ESI数据库（更新时间为2023年11月9日） InCites数据（更新时间为2023年11月30日）</w:t>
      </w:r>
    </w:p>
    <w:p>
      <w:pPr>
        <w:spacing w:line="360" w:lineRule="auto"/>
        <w:jc w:val="righ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rPr>
        <w:t>撰写人：</w:t>
      </w:r>
      <w:r>
        <w:rPr>
          <w:rFonts w:hint="eastAsia" w:asciiTheme="minorEastAsia" w:hAnsiTheme="minorEastAsia" w:eastAsiaTheme="minorEastAsia" w:cstheme="minorEastAsia"/>
          <w:bCs/>
          <w:sz w:val="24"/>
          <w:szCs w:val="24"/>
          <w:lang w:eastAsia="zh-CN"/>
        </w:rPr>
        <w:t>康娜</w:t>
      </w:r>
    </w:p>
    <w:p>
      <w:pPr>
        <w:spacing w:line="360" w:lineRule="auto"/>
        <w:jc w:val="righ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rPr>
        <w:t>撰写时间：202</w:t>
      </w: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12</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22</w:t>
      </w:r>
    </w:p>
    <w:p>
      <w:pPr>
        <w:numPr>
          <w:ilvl w:val="0"/>
          <w:numId w:val="1"/>
        </w:numPr>
        <w:spacing w:line="360" w:lineRule="auto"/>
        <w:ind w:left="420" w:leftChars="0" w:hanging="420" w:firstLineChars="0"/>
        <w:jc w:val="both"/>
        <w:rPr>
          <w:rFonts w:hint="eastAsia" w:ascii="宋体" w:hAnsi="宋体" w:eastAsia="宋体" w:cs="宋体"/>
          <w:sz w:val="24"/>
          <w:szCs w:val="24"/>
          <w:lang w:val="en-US" w:eastAsia="zh-CN"/>
        </w:rPr>
        <w:sectPr>
          <w:pgSz w:w="11906" w:h="16838"/>
          <w:pgMar w:top="1440" w:right="1800" w:bottom="1440" w:left="1800" w:header="717" w:footer="650" w:gutter="0"/>
          <w:pgBorders>
            <w:top w:val="none" w:sz="0" w:space="0"/>
            <w:left w:val="none" w:sz="0" w:space="0"/>
            <w:bottom w:val="none" w:sz="0" w:space="0"/>
            <w:right w:val="none" w:sz="0" w:space="0"/>
          </w:pgBorders>
          <w:pgNumType w:fmt="decimal"/>
          <w:cols w:space="720" w:num="1"/>
          <w:docGrid w:linePitch="299" w:charSpace="0"/>
        </w:sectPr>
      </w:pPr>
    </w:p>
    <w:bookmarkEnd w:id="2"/>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p>
    <w:sectPr>
      <w:pgSz w:w="16838" w:h="11906" w:orient="landscape"/>
      <w:pgMar w:top="1800" w:right="1440" w:bottom="1800" w:left="1440" w:header="717" w:footer="650" w:gutter="0"/>
      <w:pgBorders>
        <w:top w:val="none" w:sz="0" w:space="0"/>
        <w:left w:val="none" w:sz="0" w:space="0"/>
        <w:bottom w:val="none" w:sz="0" w:space="0"/>
        <w:right w:val="none" w:sz="0" w:space="0"/>
      </w:pgBorders>
      <w:pgNumType w:fmt="decimal"/>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firstLine="40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firstLine="40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852C2"/>
    <w:multiLevelType w:val="singleLevel"/>
    <w:tmpl w:val="289852C2"/>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YWU2ZGY3NDVhYzM3MzljMTdjMTkyZmEzMTUzM2EifQ=="/>
  </w:docVars>
  <w:rsids>
    <w:rsidRoot w:val="00393F5A"/>
    <w:rsid w:val="00031ED8"/>
    <w:rsid w:val="00053528"/>
    <w:rsid w:val="00076C01"/>
    <w:rsid w:val="00093DC9"/>
    <w:rsid w:val="000A0093"/>
    <w:rsid w:val="000A129F"/>
    <w:rsid w:val="000A61BC"/>
    <w:rsid w:val="000B2A27"/>
    <w:rsid w:val="000B620E"/>
    <w:rsid w:val="000B6DB0"/>
    <w:rsid w:val="000B7500"/>
    <w:rsid w:val="000E1DAD"/>
    <w:rsid w:val="000F1168"/>
    <w:rsid w:val="000F2989"/>
    <w:rsid w:val="000F50B1"/>
    <w:rsid w:val="001120C1"/>
    <w:rsid w:val="00112321"/>
    <w:rsid w:val="00124321"/>
    <w:rsid w:val="00126ABB"/>
    <w:rsid w:val="00133084"/>
    <w:rsid w:val="00144C38"/>
    <w:rsid w:val="00171BC8"/>
    <w:rsid w:val="00181B2E"/>
    <w:rsid w:val="0018357A"/>
    <w:rsid w:val="001B644B"/>
    <w:rsid w:val="001C57F2"/>
    <w:rsid w:val="001E0885"/>
    <w:rsid w:val="001F3F7E"/>
    <w:rsid w:val="00200CE3"/>
    <w:rsid w:val="00205373"/>
    <w:rsid w:val="00221A34"/>
    <w:rsid w:val="00247026"/>
    <w:rsid w:val="00256B20"/>
    <w:rsid w:val="00274731"/>
    <w:rsid w:val="002767BC"/>
    <w:rsid w:val="00276AFF"/>
    <w:rsid w:val="00280938"/>
    <w:rsid w:val="00281359"/>
    <w:rsid w:val="00283691"/>
    <w:rsid w:val="00292E18"/>
    <w:rsid w:val="002941A8"/>
    <w:rsid w:val="0029775B"/>
    <w:rsid w:val="002A5443"/>
    <w:rsid w:val="002C4265"/>
    <w:rsid w:val="002C5404"/>
    <w:rsid w:val="002C58D8"/>
    <w:rsid w:val="002D4768"/>
    <w:rsid w:val="002E4227"/>
    <w:rsid w:val="002E720F"/>
    <w:rsid w:val="00304BF8"/>
    <w:rsid w:val="00304CE2"/>
    <w:rsid w:val="003124B4"/>
    <w:rsid w:val="00317054"/>
    <w:rsid w:val="00342920"/>
    <w:rsid w:val="003429F0"/>
    <w:rsid w:val="0034525F"/>
    <w:rsid w:val="003515A9"/>
    <w:rsid w:val="00355CF8"/>
    <w:rsid w:val="0036560D"/>
    <w:rsid w:val="00371988"/>
    <w:rsid w:val="00375080"/>
    <w:rsid w:val="003908BF"/>
    <w:rsid w:val="00393F5A"/>
    <w:rsid w:val="003A6C28"/>
    <w:rsid w:val="003C7647"/>
    <w:rsid w:val="003D00F3"/>
    <w:rsid w:val="003D3E9D"/>
    <w:rsid w:val="003D4C6F"/>
    <w:rsid w:val="003E20D9"/>
    <w:rsid w:val="003E2CEE"/>
    <w:rsid w:val="003E471F"/>
    <w:rsid w:val="00412A7A"/>
    <w:rsid w:val="00430611"/>
    <w:rsid w:val="00444F49"/>
    <w:rsid w:val="004515EE"/>
    <w:rsid w:val="0045437B"/>
    <w:rsid w:val="0047200B"/>
    <w:rsid w:val="004756B3"/>
    <w:rsid w:val="004813CF"/>
    <w:rsid w:val="004B0AF4"/>
    <w:rsid w:val="004B3077"/>
    <w:rsid w:val="004D7A1A"/>
    <w:rsid w:val="004F06A9"/>
    <w:rsid w:val="005009E1"/>
    <w:rsid w:val="0050292B"/>
    <w:rsid w:val="00507362"/>
    <w:rsid w:val="005132C5"/>
    <w:rsid w:val="005231FF"/>
    <w:rsid w:val="005234C1"/>
    <w:rsid w:val="005913C1"/>
    <w:rsid w:val="00595443"/>
    <w:rsid w:val="005A174A"/>
    <w:rsid w:val="005A4B8D"/>
    <w:rsid w:val="005A5511"/>
    <w:rsid w:val="005B4D34"/>
    <w:rsid w:val="005C616C"/>
    <w:rsid w:val="005C7602"/>
    <w:rsid w:val="005E460A"/>
    <w:rsid w:val="005F7BCF"/>
    <w:rsid w:val="006059CA"/>
    <w:rsid w:val="0061602C"/>
    <w:rsid w:val="00624A91"/>
    <w:rsid w:val="0064312D"/>
    <w:rsid w:val="00660DD8"/>
    <w:rsid w:val="00671A52"/>
    <w:rsid w:val="00683FD7"/>
    <w:rsid w:val="006A1A2A"/>
    <w:rsid w:val="006B79F3"/>
    <w:rsid w:val="006B7F5E"/>
    <w:rsid w:val="006C29C3"/>
    <w:rsid w:val="006C4CD3"/>
    <w:rsid w:val="006D386A"/>
    <w:rsid w:val="006E399F"/>
    <w:rsid w:val="006F352F"/>
    <w:rsid w:val="00702324"/>
    <w:rsid w:val="00710811"/>
    <w:rsid w:val="0072430F"/>
    <w:rsid w:val="00727CB1"/>
    <w:rsid w:val="0073435D"/>
    <w:rsid w:val="0074051C"/>
    <w:rsid w:val="0074712A"/>
    <w:rsid w:val="00755B23"/>
    <w:rsid w:val="0075691A"/>
    <w:rsid w:val="007A5C46"/>
    <w:rsid w:val="007B35B1"/>
    <w:rsid w:val="007C43CF"/>
    <w:rsid w:val="007C7BA3"/>
    <w:rsid w:val="007E0D46"/>
    <w:rsid w:val="007E20C2"/>
    <w:rsid w:val="007E2EF7"/>
    <w:rsid w:val="007E3EAE"/>
    <w:rsid w:val="007F389B"/>
    <w:rsid w:val="00802E76"/>
    <w:rsid w:val="00824B1F"/>
    <w:rsid w:val="00831A3A"/>
    <w:rsid w:val="00853034"/>
    <w:rsid w:val="008534AD"/>
    <w:rsid w:val="008579E4"/>
    <w:rsid w:val="00880F34"/>
    <w:rsid w:val="00881076"/>
    <w:rsid w:val="008862A7"/>
    <w:rsid w:val="00890DA0"/>
    <w:rsid w:val="008A1A8C"/>
    <w:rsid w:val="008B5A85"/>
    <w:rsid w:val="008C4862"/>
    <w:rsid w:val="008E1E25"/>
    <w:rsid w:val="008E5816"/>
    <w:rsid w:val="008E7702"/>
    <w:rsid w:val="00900CD1"/>
    <w:rsid w:val="0090287A"/>
    <w:rsid w:val="00930C38"/>
    <w:rsid w:val="00934E8D"/>
    <w:rsid w:val="009407B2"/>
    <w:rsid w:val="00943304"/>
    <w:rsid w:val="00960774"/>
    <w:rsid w:val="00963027"/>
    <w:rsid w:val="00967CCE"/>
    <w:rsid w:val="009824B5"/>
    <w:rsid w:val="00984C26"/>
    <w:rsid w:val="00990B9C"/>
    <w:rsid w:val="009A0605"/>
    <w:rsid w:val="009A7DC6"/>
    <w:rsid w:val="009C6D68"/>
    <w:rsid w:val="009D0EDF"/>
    <w:rsid w:val="009D105C"/>
    <w:rsid w:val="009F0517"/>
    <w:rsid w:val="009F2D03"/>
    <w:rsid w:val="009F55A0"/>
    <w:rsid w:val="009F6439"/>
    <w:rsid w:val="00A23D41"/>
    <w:rsid w:val="00A26B31"/>
    <w:rsid w:val="00A466E6"/>
    <w:rsid w:val="00A4708A"/>
    <w:rsid w:val="00A477FD"/>
    <w:rsid w:val="00A64343"/>
    <w:rsid w:val="00A658DF"/>
    <w:rsid w:val="00A74C9B"/>
    <w:rsid w:val="00A756E3"/>
    <w:rsid w:val="00A8492B"/>
    <w:rsid w:val="00A85BB3"/>
    <w:rsid w:val="00AA2725"/>
    <w:rsid w:val="00AC5170"/>
    <w:rsid w:val="00AD2769"/>
    <w:rsid w:val="00AD57F6"/>
    <w:rsid w:val="00AD726B"/>
    <w:rsid w:val="00AE2DE2"/>
    <w:rsid w:val="00AE5901"/>
    <w:rsid w:val="00AF4247"/>
    <w:rsid w:val="00B0204C"/>
    <w:rsid w:val="00B12749"/>
    <w:rsid w:val="00B15864"/>
    <w:rsid w:val="00B24192"/>
    <w:rsid w:val="00B26BDF"/>
    <w:rsid w:val="00B305CF"/>
    <w:rsid w:val="00B31488"/>
    <w:rsid w:val="00B46E43"/>
    <w:rsid w:val="00B51368"/>
    <w:rsid w:val="00B5367B"/>
    <w:rsid w:val="00B600B1"/>
    <w:rsid w:val="00B63913"/>
    <w:rsid w:val="00B64305"/>
    <w:rsid w:val="00B64FF1"/>
    <w:rsid w:val="00B6606C"/>
    <w:rsid w:val="00B7087C"/>
    <w:rsid w:val="00B70E79"/>
    <w:rsid w:val="00B97199"/>
    <w:rsid w:val="00B97C87"/>
    <w:rsid w:val="00BA70B0"/>
    <w:rsid w:val="00BB2DF8"/>
    <w:rsid w:val="00BE2F19"/>
    <w:rsid w:val="00BE6ECE"/>
    <w:rsid w:val="00C165EC"/>
    <w:rsid w:val="00C2734E"/>
    <w:rsid w:val="00C41FDF"/>
    <w:rsid w:val="00C45988"/>
    <w:rsid w:val="00C46AAE"/>
    <w:rsid w:val="00C54C96"/>
    <w:rsid w:val="00C64E0D"/>
    <w:rsid w:val="00CA5D01"/>
    <w:rsid w:val="00CB013E"/>
    <w:rsid w:val="00CB2D53"/>
    <w:rsid w:val="00CB5810"/>
    <w:rsid w:val="00CC0E76"/>
    <w:rsid w:val="00CF3E3D"/>
    <w:rsid w:val="00D00084"/>
    <w:rsid w:val="00D0355D"/>
    <w:rsid w:val="00D10F95"/>
    <w:rsid w:val="00D343EA"/>
    <w:rsid w:val="00D36914"/>
    <w:rsid w:val="00D46A69"/>
    <w:rsid w:val="00D5393E"/>
    <w:rsid w:val="00D85601"/>
    <w:rsid w:val="00DA4EE2"/>
    <w:rsid w:val="00DB734E"/>
    <w:rsid w:val="00DC2660"/>
    <w:rsid w:val="00DC554A"/>
    <w:rsid w:val="00DE334F"/>
    <w:rsid w:val="00DF3277"/>
    <w:rsid w:val="00DF5568"/>
    <w:rsid w:val="00E04D7E"/>
    <w:rsid w:val="00E164C1"/>
    <w:rsid w:val="00E20C25"/>
    <w:rsid w:val="00E567FC"/>
    <w:rsid w:val="00E57F2D"/>
    <w:rsid w:val="00E80AE8"/>
    <w:rsid w:val="00E81639"/>
    <w:rsid w:val="00E8750D"/>
    <w:rsid w:val="00E97E7A"/>
    <w:rsid w:val="00EB388A"/>
    <w:rsid w:val="00EC0683"/>
    <w:rsid w:val="00EC53B2"/>
    <w:rsid w:val="00ED40B5"/>
    <w:rsid w:val="00ED70BC"/>
    <w:rsid w:val="00EE2995"/>
    <w:rsid w:val="00F04A9D"/>
    <w:rsid w:val="00F078AB"/>
    <w:rsid w:val="00F118E4"/>
    <w:rsid w:val="00F15493"/>
    <w:rsid w:val="00F30A07"/>
    <w:rsid w:val="00F46621"/>
    <w:rsid w:val="00F500BE"/>
    <w:rsid w:val="00F53081"/>
    <w:rsid w:val="00F61B8D"/>
    <w:rsid w:val="00F62D4E"/>
    <w:rsid w:val="00F63D55"/>
    <w:rsid w:val="00F80587"/>
    <w:rsid w:val="00F96936"/>
    <w:rsid w:val="00FA4CE2"/>
    <w:rsid w:val="00FA56EF"/>
    <w:rsid w:val="00FB3EB6"/>
    <w:rsid w:val="00FE3DD5"/>
    <w:rsid w:val="00FF08E4"/>
    <w:rsid w:val="00FF571A"/>
    <w:rsid w:val="01736F5E"/>
    <w:rsid w:val="01DE09E5"/>
    <w:rsid w:val="0219638E"/>
    <w:rsid w:val="029753AC"/>
    <w:rsid w:val="033329F8"/>
    <w:rsid w:val="03A82CAD"/>
    <w:rsid w:val="03C52BEB"/>
    <w:rsid w:val="03CC21CB"/>
    <w:rsid w:val="040000C7"/>
    <w:rsid w:val="040312A9"/>
    <w:rsid w:val="042E0790"/>
    <w:rsid w:val="043B577A"/>
    <w:rsid w:val="045859E2"/>
    <w:rsid w:val="046F2DB7"/>
    <w:rsid w:val="04B40056"/>
    <w:rsid w:val="052971A9"/>
    <w:rsid w:val="056826B5"/>
    <w:rsid w:val="05720B50"/>
    <w:rsid w:val="0575419C"/>
    <w:rsid w:val="05897439"/>
    <w:rsid w:val="058F1702"/>
    <w:rsid w:val="05A4681A"/>
    <w:rsid w:val="05AD015E"/>
    <w:rsid w:val="0696261C"/>
    <w:rsid w:val="07CA7D22"/>
    <w:rsid w:val="07FB307F"/>
    <w:rsid w:val="0802760C"/>
    <w:rsid w:val="08346591"/>
    <w:rsid w:val="08624EAC"/>
    <w:rsid w:val="08727DC2"/>
    <w:rsid w:val="08C96711"/>
    <w:rsid w:val="092D370C"/>
    <w:rsid w:val="0A0152E7"/>
    <w:rsid w:val="0A320BF9"/>
    <w:rsid w:val="0A342878"/>
    <w:rsid w:val="0A3665F0"/>
    <w:rsid w:val="0A3E4216"/>
    <w:rsid w:val="0AAB1054"/>
    <w:rsid w:val="0ABF0394"/>
    <w:rsid w:val="0B4B0C25"/>
    <w:rsid w:val="0BA8053D"/>
    <w:rsid w:val="0BBF2967"/>
    <w:rsid w:val="0C334C45"/>
    <w:rsid w:val="0C5249C0"/>
    <w:rsid w:val="0C765E64"/>
    <w:rsid w:val="0C915D60"/>
    <w:rsid w:val="0D1D4F0E"/>
    <w:rsid w:val="0D605732"/>
    <w:rsid w:val="0E5F544A"/>
    <w:rsid w:val="0E72571D"/>
    <w:rsid w:val="0E772D33"/>
    <w:rsid w:val="0E9B1118"/>
    <w:rsid w:val="0EC02653"/>
    <w:rsid w:val="0EFE4EFA"/>
    <w:rsid w:val="0F152C78"/>
    <w:rsid w:val="0F3D6EAB"/>
    <w:rsid w:val="104C3FD4"/>
    <w:rsid w:val="109E4EEF"/>
    <w:rsid w:val="10C91275"/>
    <w:rsid w:val="11E42AF1"/>
    <w:rsid w:val="122512A7"/>
    <w:rsid w:val="123917F9"/>
    <w:rsid w:val="12615520"/>
    <w:rsid w:val="12BB3B36"/>
    <w:rsid w:val="13462A2A"/>
    <w:rsid w:val="139F28EC"/>
    <w:rsid w:val="13A36737"/>
    <w:rsid w:val="13F40533"/>
    <w:rsid w:val="14521535"/>
    <w:rsid w:val="14C64A6D"/>
    <w:rsid w:val="14DE68E3"/>
    <w:rsid w:val="150177FB"/>
    <w:rsid w:val="15593193"/>
    <w:rsid w:val="158E5532"/>
    <w:rsid w:val="15931F5D"/>
    <w:rsid w:val="164C2CF7"/>
    <w:rsid w:val="16765B9D"/>
    <w:rsid w:val="17197BA7"/>
    <w:rsid w:val="174943DE"/>
    <w:rsid w:val="17912E87"/>
    <w:rsid w:val="17EF431F"/>
    <w:rsid w:val="17F74874"/>
    <w:rsid w:val="18365A0D"/>
    <w:rsid w:val="1859701D"/>
    <w:rsid w:val="18B42D80"/>
    <w:rsid w:val="19662322"/>
    <w:rsid w:val="19AA0461"/>
    <w:rsid w:val="19BF18BD"/>
    <w:rsid w:val="1A2A396E"/>
    <w:rsid w:val="1B356450"/>
    <w:rsid w:val="1BF6798D"/>
    <w:rsid w:val="1C684AC4"/>
    <w:rsid w:val="1C694603"/>
    <w:rsid w:val="1C8A0F6F"/>
    <w:rsid w:val="1C962F1E"/>
    <w:rsid w:val="1CB17D58"/>
    <w:rsid w:val="1CB6536F"/>
    <w:rsid w:val="1D1959A6"/>
    <w:rsid w:val="1D362252"/>
    <w:rsid w:val="1D5F5A06"/>
    <w:rsid w:val="1D61794D"/>
    <w:rsid w:val="1D8254E3"/>
    <w:rsid w:val="1DB66FAC"/>
    <w:rsid w:val="1DCA2E80"/>
    <w:rsid w:val="1E396257"/>
    <w:rsid w:val="1E633984"/>
    <w:rsid w:val="1EEC5078"/>
    <w:rsid w:val="1FBB2666"/>
    <w:rsid w:val="1FD04999"/>
    <w:rsid w:val="1FD41261"/>
    <w:rsid w:val="20B72114"/>
    <w:rsid w:val="20CE0ED9"/>
    <w:rsid w:val="21113303"/>
    <w:rsid w:val="21863561"/>
    <w:rsid w:val="21B06830"/>
    <w:rsid w:val="21C802F7"/>
    <w:rsid w:val="22280ABD"/>
    <w:rsid w:val="224E5316"/>
    <w:rsid w:val="226E6DEC"/>
    <w:rsid w:val="23057FB8"/>
    <w:rsid w:val="233314C7"/>
    <w:rsid w:val="238D3175"/>
    <w:rsid w:val="23C650AC"/>
    <w:rsid w:val="24145DAB"/>
    <w:rsid w:val="24460F29"/>
    <w:rsid w:val="245D60DE"/>
    <w:rsid w:val="251E669C"/>
    <w:rsid w:val="252E64CA"/>
    <w:rsid w:val="253D70F0"/>
    <w:rsid w:val="26564AA4"/>
    <w:rsid w:val="266C61FC"/>
    <w:rsid w:val="276D17BF"/>
    <w:rsid w:val="278866D9"/>
    <w:rsid w:val="27956D26"/>
    <w:rsid w:val="28327F9F"/>
    <w:rsid w:val="2886580A"/>
    <w:rsid w:val="2976035F"/>
    <w:rsid w:val="297A5066"/>
    <w:rsid w:val="29D11A3A"/>
    <w:rsid w:val="2AB96756"/>
    <w:rsid w:val="2AE26BD1"/>
    <w:rsid w:val="2B053E5C"/>
    <w:rsid w:val="2B342065"/>
    <w:rsid w:val="2C412D45"/>
    <w:rsid w:val="2C4776C0"/>
    <w:rsid w:val="2C692ABE"/>
    <w:rsid w:val="2DF84E8E"/>
    <w:rsid w:val="2F9B4311"/>
    <w:rsid w:val="2FE44130"/>
    <w:rsid w:val="2FFC762D"/>
    <w:rsid w:val="3003362F"/>
    <w:rsid w:val="30AA1D95"/>
    <w:rsid w:val="311F12DD"/>
    <w:rsid w:val="31FF55F3"/>
    <w:rsid w:val="32700042"/>
    <w:rsid w:val="32762E70"/>
    <w:rsid w:val="32CA3FF9"/>
    <w:rsid w:val="336A4174"/>
    <w:rsid w:val="33B46471"/>
    <w:rsid w:val="34146B4C"/>
    <w:rsid w:val="342852DD"/>
    <w:rsid w:val="3436506F"/>
    <w:rsid w:val="344D780B"/>
    <w:rsid w:val="34B3481A"/>
    <w:rsid w:val="35284C04"/>
    <w:rsid w:val="35296AE3"/>
    <w:rsid w:val="36E0150E"/>
    <w:rsid w:val="37372691"/>
    <w:rsid w:val="373D168C"/>
    <w:rsid w:val="373F6235"/>
    <w:rsid w:val="3806155D"/>
    <w:rsid w:val="38124507"/>
    <w:rsid w:val="38543F62"/>
    <w:rsid w:val="386E738D"/>
    <w:rsid w:val="38765C86"/>
    <w:rsid w:val="38B62526"/>
    <w:rsid w:val="39A14F85"/>
    <w:rsid w:val="39AA54A5"/>
    <w:rsid w:val="3AA77FB9"/>
    <w:rsid w:val="3C177A62"/>
    <w:rsid w:val="3D54230E"/>
    <w:rsid w:val="3DF41A9E"/>
    <w:rsid w:val="3E6077BE"/>
    <w:rsid w:val="3E9820B6"/>
    <w:rsid w:val="3EB219E2"/>
    <w:rsid w:val="3EE45131"/>
    <w:rsid w:val="3FE07E89"/>
    <w:rsid w:val="40034B6B"/>
    <w:rsid w:val="404B3477"/>
    <w:rsid w:val="40754A75"/>
    <w:rsid w:val="409D5676"/>
    <w:rsid w:val="40A642B4"/>
    <w:rsid w:val="40B1041D"/>
    <w:rsid w:val="40C076F6"/>
    <w:rsid w:val="410B3744"/>
    <w:rsid w:val="41350D1C"/>
    <w:rsid w:val="415606AA"/>
    <w:rsid w:val="41D237FD"/>
    <w:rsid w:val="41DB4805"/>
    <w:rsid w:val="44330ECF"/>
    <w:rsid w:val="44C4422F"/>
    <w:rsid w:val="45584D0F"/>
    <w:rsid w:val="45824CE7"/>
    <w:rsid w:val="45A56118"/>
    <w:rsid w:val="46E24B70"/>
    <w:rsid w:val="46E841BA"/>
    <w:rsid w:val="47044DA5"/>
    <w:rsid w:val="477D2E92"/>
    <w:rsid w:val="478457B6"/>
    <w:rsid w:val="4790561E"/>
    <w:rsid w:val="47B75973"/>
    <w:rsid w:val="48153C8D"/>
    <w:rsid w:val="48302D6B"/>
    <w:rsid w:val="48D63AD3"/>
    <w:rsid w:val="48F03833"/>
    <w:rsid w:val="4A041163"/>
    <w:rsid w:val="4A28001C"/>
    <w:rsid w:val="4AE90072"/>
    <w:rsid w:val="4B286050"/>
    <w:rsid w:val="4B7342A7"/>
    <w:rsid w:val="4B8F54E2"/>
    <w:rsid w:val="4BBC7D8E"/>
    <w:rsid w:val="4C747864"/>
    <w:rsid w:val="4C79769B"/>
    <w:rsid w:val="4C7B4CCD"/>
    <w:rsid w:val="4C9F4956"/>
    <w:rsid w:val="4D0F0818"/>
    <w:rsid w:val="4DC15EF1"/>
    <w:rsid w:val="4E1419FF"/>
    <w:rsid w:val="4E35763D"/>
    <w:rsid w:val="4E3D5914"/>
    <w:rsid w:val="4E4573E2"/>
    <w:rsid w:val="4F014E0B"/>
    <w:rsid w:val="4F833D22"/>
    <w:rsid w:val="4FFC0D0F"/>
    <w:rsid w:val="50347873"/>
    <w:rsid w:val="50BF2E32"/>
    <w:rsid w:val="51056CA7"/>
    <w:rsid w:val="512A18AC"/>
    <w:rsid w:val="5133250E"/>
    <w:rsid w:val="515E35EA"/>
    <w:rsid w:val="51960CEF"/>
    <w:rsid w:val="51991EE5"/>
    <w:rsid w:val="51A73F45"/>
    <w:rsid w:val="51D1448B"/>
    <w:rsid w:val="51F4430E"/>
    <w:rsid w:val="52024B49"/>
    <w:rsid w:val="52097713"/>
    <w:rsid w:val="52862FCD"/>
    <w:rsid w:val="52C4061B"/>
    <w:rsid w:val="5325057D"/>
    <w:rsid w:val="53B35B89"/>
    <w:rsid w:val="55A209AC"/>
    <w:rsid w:val="55D35C3C"/>
    <w:rsid w:val="55E25108"/>
    <w:rsid w:val="560C1580"/>
    <w:rsid w:val="560F152E"/>
    <w:rsid w:val="569739CF"/>
    <w:rsid w:val="574F28D9"/>
    <w:rsid w:val="57585CFB"/>
    <w:rsid w:val="581B4541"/>
    <w:rsid w:val="586567C5"/>
    <w:rsid w:val="58E37EBC"/>
    <w:rsid w:val="59133FBA"/>
    <w:rsid w:val="59154BEF"/>
    <w:rsid w:val="5931454D"/>
    <w:rsid w:val="59347CC8"/>
    <w:rsid w:val="5935326C"/>
    <w:rsid w:val="596330D0"/>
    <w:rsid w:val="59E1703C"/>
    <w:rsid w:val="59F026C7"/>
    <w:rsid w:val="5AA84087"/>
    <w:rsid w:val="5AB87B14"/>
    <w:rsid w:val="5B141CB7"/>
    <w:rsid w:val="5B231846"/>
    <w:rsid w:val="5B3305DF"/>
    <w:rsid w:val="5B4668B8"/>
    <w:rsid w:val="5B5437AD"/>
    <w:rsid w:val="5B570C60"/>
    <w:rsid w:val="5B647768"/>
    <w:rsid w:val="5C1D6295"/>
    <w:rsid w:val="5C510FE2"/>
    <w:rsid w:val="5CD02B01"/>
    <w:rsid w:val="5CEA613E"/>
    <w:rsid w:val="5CF804BA"/>
    <w:rsid w:val="5D9E3405"/>
    <w:rsid w:val="5DBA068D"/>
    <w:rsid w:val="5EF661D2"/>
    <w:rsid w:val="5F4973A1"/>
    <w:rsid w:val="5F7E34EF"/>
    <w:rsid w:val="60224104"/>
    <w:rsid w:val="60E23609"/>
    <w:rsid w:val="6190586C"/>
    <w:rsid w:val="62195750"/>
    <w:rsid w:val="623760DD"/>
    <w:rsid w:val="62384AB5"/>
    <w:rsid w:val="62922511"/>
    <w:rsid w:val="62B1691A"/>
    <w:rsid w:val="630C6191"/>
    <w:rsid w:val="630F4161"/>
    <w:rsid w:val="635E66BE"/>
    <w:rsid w:val="644206E0"/>
    <w:rsid w:val="65437E4E"/>
    <w:rsid w:val="65A87509"/>
    <w:rsid w:val="669A3959"/>
    <w:rsid w:val="675D37A7"/>
    <w:rsid w:val="67A03E2F"/>
    <w:rsid w:val="67AD4D21"/>
    <w:rsid w:val="681E0BBB"/>
    <w:rsid w:val="6888718C"/>
    <w:rsid w:val="690901E6"/>
    <w:rsid w:val="69F16143"/>
    <w:rsid w:val="6A1755E8"/>
    <w:rsid w:val="6A1F767C"/>
    <w:rsid w:val="6A8120E5"/>
    <w:rsid w:val="6AA80BCD"/>
    <w:rsid w:val="6AC60455"/>
    <w:rsid w:val="6B572E46"/>
    <w:rsid w:val="6B760D8F"/>
    <w:rsid w:val="6B791C8D"/>
    <w:rsid w:val="6BE01775"/>
    <w:rsid w:val="6C351386"/>
    <w:rsid w:val="6C4F3C53"/>
    <w:rsid w:val="6C9809CB"/>
    <w:rsid w:val="6CD04C5E"/>
    <w:rsid w:val="6CDA0496"/>
    <w:rsid w:val="6D6B6540"/>
    <w:rsid w:val="6D76267E"/>
    <w:rsid w:val="6D967C55"/>
    <w:rsid w:val="6DCB5036"/>
    <w:rsid w:val="6DE30371"/>
    <w:rsid w:val="6DFF69FB"/>
    <w:rsid w:val="6E5043E7"/>
    <w:rsid w:val="6E57115B"/>
    <w:rsid w:val="6E981569"/>
    <w:rsid w:val="6E9A6B0A"/>
    <w:rsid w:val="6EEB3FD1"/>
    <w:rsid w:val="6F7F44A5"/>
    <w:rsid w:val="6FB16FC8"/>
    <w:rsid w:val="6FC21CF1"/>
    <w:rsid w:val="6FE41960"/>
    <w:rsid w:val="701F5319"/>
    <w:rsid w:val="702509E3"/>
    <w:rsid w:val="70293003"/>
    <w:rsid w:val="70455963"/>
    <w:rsid w:val="71415FE7"/>
    <w:rsid w:val="714B1FFD"/>
    <w:rsid w:val="72463FBE"/>
    <w:rsid w:val="72A24FEE"/>
    <w:rsid w:val="72BE66F3"/>
    <w:rsid w:val="72CA6C73"/>
    <w:rsid w:val="72F65272"/>
    <w:rsid w:val="72F773E8"/>
    <w:rsid w:val="72FE60E2"/>
    <w:rsid w:val="73944FCD"/>
    <w:rsid w:val="73B13A3B"/>
    <w:rsid w:val="73C801A1"/>
    <w:rsid w:val="73D15D9E"/>
    <w:rsid w:val="73DC4994"/>
    <w:rsid w:val="74384C68"/>
    <w:rsid w:val="745766F2"/>
    <w:rsid w:val="745B5331"/>
    <w:rsid w:val="74940C67"/>
    <w:rsid w:val="75363ACC"/>
    <w:rsid w:val="75BA46FD"/>
    <w:rsid w:val="75EC029B"/>
    <w:rsid w:val="765E77B4"/>
    <w:rsid w:val="76702AAD"/>
    <w:rsid w:val="767267F6"/>
    <w:rsid w:val="77276F64"/>
    <w:rsid w:val="776400F0"/>
    <w:rsid w:val="77A464A0"/>
    <w:rsid w:val="783A0D35"/>
    <w:rsid w:val="784C48C4"/>
    <w:rsid w:val="78A26622"/>
    <w:rsid w:val="78CC3CF7"/>
    <w:rsid w:val="78F22669"/>
    <w:rsid w:val="796B468C"/>
    <w:rsid w:val="79A656C4"/>
    <w:rsid w:val="79BD4E61"/>
    <w:rsid w:val="79C93160"/>
    <w:rsid w:val="79CF4C2E"/>
    <w:rsid w:val="79F20909"/>
    <w:rsid w:val="7A4C4D48"/>
    <w:rsid w:val="7A5213A8"/>
    <w:rsid w:val="7A7E63FB"/>
    <w:rsid w:val="7B0C6D68"/>
    <w:rsid w:val="7C144D75"/>
    <w:rsid w:val="7C345209"/>
    <w:rsid w:val="7C554110"/>
    <w:rsid w:val="7CF73369"/>
    <w:rsid w:val="7D580A83"/>
    <w:rsid w:val="7DEB28E5"/>
    <w:rsid w:val="7E0A7BC7"/>
    <w:rsid w:val="7ED22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黑体" w:hAnsi="黑体" w:eastAsia="黑体" w:cs="黑体"/>
      <w:sz w:val="22"/>
      <w:szCs w:val="22"/>
      <w:lang w:val="zh-CN" w:eastAsia="zh-CN" w:bidi="zh-CN"/>
    </w:rPr>
  </w:style>
  <w:style w:type="paragraph" w:styleId="2">
    <w:name w:val="heading 1"/>
    <w:basedOn w:val="1"/>
    <w:next w:val="1"/>
    <w:link w:val="18"/>
    <w:qFormat/>
    <w:uiPriority w:val="1"/>
    <w:pPr>
      <w:keepNext/>
      <w:keepLines/>
      <w:spacing w:before="340" w:after="330" w:line="578" w:lineRule="auto"/>
      <w:outlineLvl w:val="0"/>
    </w:pPr>
    <w:rPr>
      <w:b/>
      <w:bCs/>
      <w:kern w:val="44"/>
      <w:sz w:val="32"/>
      <w:szCs w:val="44"/>
    </w:rPr>
  </w:style>
  <w:style w:type="paragraph" w:styleId="3">
    <w:name w:val="heading 2"/>
    <w:basedOn w:val="1"/>
    <w:next w:val="1"/>
    <w:link w:val="20"/>
    <w:autoRedefine/>
    <w:unhideWhenUsed/>
    <w:qFormat/>
    <w:uiPriority w:val="0"/>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30"/>
    <w:autoRedefine/>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rPr>
      <w:b/>
      <w:bCs/>
      <w:color w:val="4F81BD"/>
      <w:sz w:val="18"/>
      <w:szCs w:val="18"/>
    </w:rPr>
  </w:style>
  <w:style w:type="paragraph" w:styleId="6">
    <w:name w:val="annotation text"/>
    <w:basedOn w:val="1"/>
    <w:link w:val="27"/>
    <w:unhideWhenUsed/>
    <w:qFormat/>
    <w:uiPriority w:val="99"/>
    <w:pPr>
      <w:autoSpaceDE/>
      <w:autoSpaceDN/>
    </w:pPr>
    <w:rPr>
      <w:rFonts w:asciiTheme="minorHAnsi" w:hAnsiTheme="minorHAnsi" w:eastAsiaTheme="minorEastAsia" w:cstheme="minorBidi"/>
      <w:kern w:val="2"/>
      <w:sz w:val="21"/>
      <w:lang w:val="en-US" w:bidi="ar-SA"/>
    </w:rPr>
  </w:style>
  <w:style w:type="paragraph" w:styleId="7">
    <w:name w:val="Body Text"/>
    <w:basedOn w:val="1"/>
    <w:link w:val="21"/>
    <w:qFormat/>
    <w:uiPriority w:val="1"/>
    <w:pPr>
      <w:spacing w:line="360" w:lineRule="auto"/>
      <w:ind w:firstLine="200" w:firstLineChars="200"/>
    </w:pPr>
    <w:rPr>
      <w:color w:val="000000" w:themeColor="text1"/>
      <w:sz w:val="24"/>
      <w:szCs w:val="24"/>
      <w14:textFill>
        <w14:solidFill>
          <w14:schemeClr w14:val="tx1"/>
        </w14:solidFill>
      </w14:textFill>
    </w:rPr>
  </w:style>
  <w:style w:type="paragraph" w:styleId="8">
    <w:name w:val="Balloon Text"/>
    <w:basedOn w:val="1"/>
    <w:link w:val="34"/>
    <w:autoRedefine/>
    <w:semiHidden/>
    <w:unhideWhenUsed/>
    <w:qFormat/>
    <w:uiPriority w:val="99"/>
    <w:rPr>
      <w:sz w:val="18"/>
      <w:szCs w:val="18"/>
    </w:rPr>
  </w:style>
  <w:style w:type="paragraph" w:styleId="9">
    <w:name w:val="footer"/>
    <w:basedOn w:val="1"/>
    <w:link w:val="26"/>
    <w:autoRedefine/>
    <w:qFormat/>
    <w:uiPriority w:val="99"/>
    <w:pPr>
      <w:tabs>
        <w:tab w:val="center" w:pos="4153"/>
        <w:tab w:val="right" w:pos="8306"/>
      </w:tabs>
      <w:snapToGrid w:val="0"/>
    </w:pPr>
    <w:rPr>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before="285"/>
      <w:ind w:left="290"/>
    </w:pPr>
    <w:rPr>
      <w:sz w:val="24"/>
      <w:szCs w:val="24"/>
    </w:rPr>
  </w:style>
  <w:style w:type="paragraph" w:styleId="12">
    <w:name w:val="toc 2"/>
    <w:basedOn w:val="1"/>
    <w:next w:val="1"/>
    <w:qFormat/>
    <w:uiPriority w:val="39"/>
    <w:pPr>
      <w:spacing w:before="151"/>
      <w:ind w:left="514"/>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qFormat/>
    <w:uiPriority w:val="99"/>
    <w:rPr>
      <w:color w:val="0000FF"/>
      <w:u w:val="single"/>
    </w:rPr>
  </w:style>
  <w:style w:type="paragraph" w:customStyle="1" w:styleId="17">
    <w:name w:val="报告标题1"/>
    <w:basedOn w:val="2"/>
    <w:next w:val="1"/>
    <w:qFormat/>
    <w:uiPriority w:val="0"/>
    <w:pPr>
      <w:keepNext w:val="0"/>
      <w:keepLines w:val="0"/>
      <w:pageBreakBefore/>
      <w:widowControl/>
      <w:spacing w:before="480" w:after="120" w:line="240" w:lineRule="auto"/>
    </w:pPr>
    <w:rPr>
      <w:rFonts w:asciiTheme="majorHAnsi" w:hAnsiTheme="majorHAnsi" w:cstheme="majorBidi"/>
      <w:color w:val="000000" w:themeColor="text1"/>
      <w:kern w:val="0"/>
      <w:sz w:val="40"/>
      <w:szCs w:val="20"/>
      <w:u w:val="single" w:color="000000" w:themeColor="text1"/>
      <w14:textFill>
        <w14:solidFill>
          <w14:schemeClr w14:val="tx1"/>
        </w14:solidFill>
      </w14:textFill>
    </w:rPr>
  </w:style>
  <w:style w:type="character" w:customStyle="1" w:styleId="18">
    <w:name w:val="标题 1 Char"/>
    <w:basedOn w:val="15"/>
    <w:link w:val="2"/>
    <w:qFormat/>
    <w:uiPriority w:val="1"/>
    <w:rPr>
      <w:rFonts w:ascii="黑体" w:hAnsi="黑体" w:eastAsia="黑体" w:cs="黑体"/>
      <w:b/>
      <w:bCs/>
      <w:kern w:val="44"/>
      <w:sz w:val="32"/>
      <w:szCs w:val="44"/>
      <w:lang w:val="zh-CN" w:bidi="zh-CN"/>
    </w:rPr>
  </w:style>
  <w:style w:type="paragraph" w:styleId="19">
    <w:name w:val="List Paragraph"/>
    <w:basedOn w:val="1"/>
    <w:autoRedefine/>
    <w:qFormat/>
    <w:uiPriority w:val="1"/>
    <w:pPr>
      <w:spacing w:before="100" w:after="100" w:line="360" w:lineRule="auto"/>
      <w:ind w:left="1680"/>
      <w:jc w:val="center"/>
    </w:pPr>
    <w:rPr>
      <w:rFonts w:cs="Times New Roman"/>
      <w:b/>
      <w:bCs/>
    </w:rPr>
  </w:style>
  <w:style w:type="character" w:customStyle="1" w:styleId="20">
    <w:name w:val="标题 2 Char"/>
    <w:basedOn w:val="15"/>
    <w:link w:val="3"/>
    <w:qFormat/>
    <w:uiPriority w:val="0"/>
    <w:rPr>
      <w:rFonts w:eastAsia="黑体" w:asciiTheme="majorHAnsi" w:hAnsiTheme="majorHAnsi" w:cstheme="majorBidi"/>
      <w:b/>
      <w:bCs/>
      <w:kern w:val="0"/>
      <w:sz w:val="32"/>
      <w:szCs w:val="32"/>
      <w:lang w:val="zh-CN" w:bidi="zh-CN"/>
    </w:rPr>
  </w:style>
  <w:style w:type="character" w:customStyle="1" w:styleId="21">
    <w:name w:val="正文文本 Char"/>
    <w:basedOn w:val="15"/>
    <w:link w:val="7"/>
    <w:qFormat/>
    <w:uiPriority w:val="1"/>
    <w:rPr>
      <w:rFonts w:ascii="黑体" w:hAnsi="黑体" w:eastAsia="黑体" w:cs="黑体"/>
      <w:color w:val="000000" w:themeColor="text1"/>
      <w:kern w:val="0"/>
      <w:sz w:val="24"/>
      <w:szCs w:val="24"/>
      <w:lang w:val="zh-CN" w:bidi="zh-CN"/>
      <w14:textFill>
        <w14:solidFill>
          <w14:schemeClr w14:val="tx1"/>
        </w14:solidFill>
      </w14:textFill>
    </w:rPr>
  </w:style>
  <w:style w:type="table" w:customStyle="1" w:styleId="22">
    <w:name w:val="Table Normal"/>
    <w:autoRedefine/>
    <w:semiHidden/>
    <w:unhideWhenUsed/>
    <w:qFormat/>
    <w:uiPriority w:val="2"/>
    <w:tblPr>
      <w:tblCellMar>
        <w:top w:w="0" w:type="dxa"/>
        <w:left w:w="0" w:type="dxa"/>
        <w:bottom w:w="0" w:type="dxa"/>
        <w:right w:w="0" w:type="dxa"/>
      </w:tblCellMar>
    </w:tblPr>
  </w:style>
  <w:style w:type="paragraph" w:customStyle="1" w:styleId="23">
    <w:name w:val="Table Paragraph"/>
    <w:basedOn w:val="1"/>
    <w:autoRedefine/>
    <w:qFormat/>
    <w:uiPriority w:val="1"/>
    <w:pPr>
      <w:ind w:left="552"/>
    </w:pPr>
  </w:style>
  <w:style w:type="table" w:customStyle="1" w:styleId="24">
    <w:name w:val="网格表 4 - 着色 22"/>
    <w:basedOn w:val="13"/>
    <w:autoRedefine/>
    <w:qFormat/>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FFFFF" w:themeFill="background1"/>
      </w:tcPr>
    </w:tblStylePr>
    <w:tblStylePr w:type="band1Horz">
      <w:tcPr>
        <w:shd w:val="clear" w:color="auto" w:fill="FFFFFF" w:themeFill="background1"/>
      </w:tcPr>
    </w:tblStylePr>
  </w:style>
  <w:style w:type="character" w:customStyle="1" w:styleId="25">
    <w:name w:val="页眉 Char"/>
    <w:basedOn w:val="15"/>
    <w:link w:val="10"/>
    <w:autoRedefine/>
    <w:qFormat/>
    <w:uiPriority w:val="99"/>
    <w:rPr>
      <w:rFonts w:ascii="黑体" w:hAnsi="黑体" w:eastAsia="黑体" w:cs="黑体"/>
      <w:kern w:val="0"/>
      <w:sz w:val="18"/>
      <w:szCs w:val="18"/>
      <w:lang w:val="zh-CN" w:bidi="zh-CN"/>
    </w:rPr>
  </w:style>
  <w:style w:type="character" w:customStyle="1" w:styleId="26">
    <w:name w:val="页脚 Char"/>
    <w:basedOn w:val="15"/>
    <w:link w:val="9"/>
    <w:autoRedefine/>
    <w:qFormat/>
    <w:uiPriority w:val="99"/>
    <w:rPr>
      <w:rFonts w:ascii="黑体" w:hAnsi="黑体" w:eastAsia="黑体" w:cs="黑体"/>
      <w:kern w:val="0"/>
      <w:sz w:val="18"/>
      <w:szCs w:val="18"/>
      <w:lang w:val="zh-CN" w:bidi="zh-CN"/>
    </w:rPr>
  </w:style>
  <w:style w:type="character" w:customStyle="1" w:styleId="27">
    <w:name w:val="批注文字 Char"/>
    <w:basedOn w:val="15"/>
    <w:link w:val="6"/>
    <w:autoRedefine/>
    <w:qFormat/>
    <w:uiPriority w:val="99"/>
  </w:style>
  <w:style w:type="table" w:customStyle="1" w:styleId="28">
    <w:name w:val="网格表 4 - 着色 21"/>
    <w:basedOn w:val="13"/>
    <w:autoRedefine/>
    <w:qFormat/>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paragraph" w:customStyle="1" w:styleId="29">
    <w:name w:val="TOC 标题1"/>
    <w:basedOn w:val="2"/>
    <w:next w:val="1"/>
    <w:autoRedefine/>
    <w:unhideWhenUsed/>
    <w:qFormat/>
    <w:uiPriority w:val="39"/>
    <w:pPr>
      <w:widowControl/>
      <w:autoSpaceDE/>
      <w:autoSpaceDN/>
      <w:spacing w:before="240" w:after="0" w:line="259" w:lineRule="auto"/>
      <w:outlineLvl w:val="9"/>
    </w:pPr>
    <w:rPr>
      <w:rFonts w:asciiTheme="majorHAnsi" w:hAnsiTheme="majorHAnsi" w:eastAsiaTheme="majorEastAsia" w:cstheme="majorBidi"/>
      <w:b w:val="0"/>
      <w:bCs w:val="0"/>
      <w:color w:val="376092" w:themeColor="accent1" w:themeShade="BF"/>
      <w:kern w:val="0"/>
      <w:szCs w:val="32"/>
      <w:lang w:val="en-US" w:bidi="ar-SA"/>
    </w:rPr>
  </w:style>
  <w:style w:type="character" w:customStyle="1" w:styleId="30">
    <w:name w:val="标题 3 Char"/>
    <w:basedOn w:val="15"/>
    <w:link w:val="4"/>
    <w:qFormat/>
    <w:uiPriority w:val="9"/>
    <w:rPr>
      <w:rFonts w:ascii="黑体" w:hAnsi="黑体" w:eastAsia="黑体" w:cs="黑体"/>
      <w:b/>
      <w:bCs/>
      <w:kern w:val="0"/>
      <w:sz w:val="32"/>
      <w:szCs w:val="32"/>
      <w:lang w:val="zh-CN" w:bidi="zh-CN"/>
    </w:rPr>
  </w:style>
  <w:style w:type="table" w:customStyle="1" w:styleId="31">
    <w:name w:val="网格表 4 - 着色 23"/>
    <w:basedOn w:val="13"/>
    <w:autoRedefine/>
    <w:qFormat/>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paragraph" w:customStyle="1" w:styleId="32">
    <w:name w:val="legend__list__item"/>
    <w:basedOn w:val="1"/>
    <w:autoRedefine/>
    <w:qFormat/>
    <w:uiPriority w:val="0"/>
    <w:pPr>
      <w:widowControl/>
      <w:autoSpaceDE/>
      <w:autoSpaceDN/>
      <w:spacing w:before="100" w:beforeAutospacing="1" w:after="100" w:afterAutospacing="1"/>
    </w:pPr>
    <w:rPr>
      <w:rFonts w:ascii="宋体" w:hAnsi="宋体" w:eastAsia="宋体" w:cs="宋体"/>
      <w:sz w:val="24"/>
      <w:szCs w:val="24"/>
      <w:lang w:val="en-US" w:bidi="ar-SA"/>
    </w:rPr>
  </w:style>
  <w:style w:type="character" w:customStyle="1" w:styleId="33">
    <w:name w:val="legend__list__item__label"/>
    <w:basedOn w:val="15"/>
    <w:qFormat/>
    <w:uiPriority w:val="0"/>
  </w:style>
  <w:style w:type="character" w:customStyle="1" w:styleId="34">
    <w:name w:val="批注框文本 Char"/>
    <w:basedOn w:val="15"/>
    <w:link w:val="8"/>
    <w:semiHidden/>
    <w:qFormat/>
    <w:uiPriority w:val="99"/>
    <w:rPr>
      <w:rFonts w:ascii="黑体" w:hAnsi="黑体" w:eastAsia="黑体" w:cs="黑体"/>
      <w:sz w:val="18"/>
      <w:szCs w:val="18"/>
      <w:lang w:val="zh-CN" w:bidi="zh-CN"/>
    </w:rPr>
  </w:style>
  <w:style w:type="paragraph" w:customStyle="1" w:styleId="35">
    <w:name w:val="TOC 标题2"/>
    <w:basedOn w:val="2"/>
    <w:next w:val="1"/>
    <w:unhideWhenUsed/>
    <w:qFormat/>
    <w:uiPriority w:val="39"/>
    <w:pPr>
      <w:widowControl/>
      <w:autoSpaceDE/>
      <w:autoSpaceDN/>
      <w:spacing w:before="240" w:after="0" w:line="259" w:lineRule="auto"/>
      <w:outlineLvl w:val="9"/>
    </w:pPr>
    <w:rPr>
      <w:rFonts w:asciiTheme="majorHAnsi" w:hAnsiTheme="majorHAnsi" w:eastAsiaTheme="majorEastAsia" w:cstheme="majorBidi"/>
      <w:b w:val="0"/>
      <w:bCs w:val="0"/>
      <w:color w:val="376092" w:themeColor="accent1" w:themeShade="BF"/>
      <w:kern w:val="0"/>
      <w:szCs w:val="32"/>
      <w:lang w:val="en-US" w:bidi="ar-SA"/>
    </w:rPr>
  </w:style>
  <w:style w:type="character" w:customStyle="1" w:styleId="36">
    <w:name w:val="font11"/>
    <w:basedOn w:val="15"/>
    <w:qFormat/>
    <w:uiPriority w:val="0"/>
    <w:rPr>
      <w:rFonts w:hint="eastAsia" w:ascii="宋体" w:hAnsi="宋体" w:eastAsia="宋体" w:cs="宋体"/>
      <w:color w:val="000000"/>
      <w:sz w:val="24"/>
      <w:szCs w:val="24"/>
      <w:u w:val="none"/>
    </w:rPr>
  </w:style>
  <w:style w:type="character" w:customStyle="1" w:styleId="37">
    <w:name w:val="font21"/>
    <w:basedOn w:val="15"/>
    <w:autoRedefine/>
    <w:qFormat/>
    <w:uiPriority w:val="0"/>
    <w:rPr>
      <w:rFonts w:hint="eastAsia" w:ascii="宋体" w:hAnsi="宋体" w:eastAsia="宋体" w:cs="宋体"/>
      <w:b/>
      <w:bCs/>
      <w:color w:val="00439E"/>
      <w:sz w:val="24"/>
      <w:szCs w:val="24"/>
      <w:u w:val="none"/>
    </w:rPr>
  </w:style>
  <w:style w:type="character" w:customStyle="1" w:styleId="38">
    <w:name w:val="font01"/>
    <w:basedOn w:val="15"/>
    <w:autoRedefine/>
    <w:qFormat/>
    <w:uiPriority w:val="0"/>
    <w:rPr>
      <w:rFonts w:hint="eastAsia" w:ascii="宋体" w:hAnsi="宋体" w:eastAsia="宋体" w:cs="宋体"/>
      <w:color w:val="000000"/>
      <w:sz w:val="24"/>
      <w:szCs w:val="24"/>
      <w:u w:val="none"/>
    </w:rPr>
  </w:style>
  <w:style w:type="character" w:customStyle="1" w:styleId="39">
    <w:name w:val="font31"/>
    <w:basedOn w:val="15"/>
    <w:qFormat/>
    <w:uiPriority w:val="0"/>
    <w:rPr>
      <w:rFonts w:hint="eastAsia" w:ascii="黑体" w:hAnsi="宋体" w:eastAsia="黑体" w:cs="黑体"/>
      <w:color w:val="000000"/>
      <w:sz w:val="24"/>
      <w:szCs w:val="24"/>
      <w:u w:val="none"/>
    </w:rPr>
  </w:style>
  <w:style w:type="paragraph" w:customStyle="1" w:styleId="4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oleObject" Target="file:///D:\ShareCache%20(3)\&#22270;&#20070;&#39302;-&#20449;&#24687;&#21672;&#35810;&#19982;&#23398;&#31185;&#26381;&#21153;&#37096;\&#20449;&#24687;&#21672;&#35810;&#37096;&#24037;&#20316;&#65288;&#21016;&#26480;202007&#65289;\&#23398;&#31185;&#26381;&#21153;\2023&#24180;\2023&#24180;&#23398;&#31185;&#26381;&#21153;&#25253;&#21578;\XKBG%202023014%202023&#24180;&#23665;&#35199;&#21307;&#31185;&#22823;&#23398;ESI&#23398;&#31185;&#31454;&#20105;&#21147;&#20998;&#26512;&#25253;&#21578;\&#26426;&#26500;&#21644;&#23398;&#31185;&#25490;&#21517;&#27719;&#24635;&#34920;.xls"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D:\ShareCache%20(3)\&#22270;&#20070;&#39302;-&#20449;&#24687;&#21672;&#35810;&#19982;&#23398;&#31185;&#26381;&#21153;&#37096;\&#20449;&#24687;&#21672;&#35810;&#37096;&#24037;&#20316;&#65288;&#21016;&#26480;202007&#65289;\&#23398;&#31185;&#26381;&#21153;\2023&#24180;\2023&#24180;&#23398;&#31185;&#26381;&#21153;&#25253;&#21578;\XKBG%202023014%202023&#24180;&#23665;&#35199;&#21307;&#31185;&#22823;&#23398;ESI&#23398;&#31185;&#31454;&#20105;&#21147;&#20998;&#26512;&#25253;&#21578;\&#26426;&#26500;&#21644;&#23398;&#31185;&#25490;&#21517;&#27719;&#24635;&#34920;.xls"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D:\ShareCache%20(3)\&#22270;&#20070;&#39302;-&#20449;&#24687;&#21672;&#35810;&#19982;&#23398;&#31185;&#26381;&#21153;&#37096;\&#20449;&#24687;&#21672;&#35810;&#37096;&#24037;&#20316;&#65288;&#21016;&#26480;202007&#65289;\&#23398;&#31185;&#26381;&#21153;\2023&#24180;\2023&#24180;&#23398;&#31185;&#26381;&#21153;&#25253;&#21578;\XKBG%202023014%202023&#24180;&#23665;&#35199;&#21307;&#31185;&#22823;&#23398;ESI&#23398;&#31185;&#31454;&#20105;&#21147;&#20998;&#26512;&#25253;&#21578;\&#26426;&#26500;&#21644;&#23398;&#31185;&#25490;&#21517;&#27719;&#24635;&#34920;.xls"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oleObject" Target="file:///D:\ShareCache%20(3)\&#22270;&#20070;&#39302;-&#20449;&#24687;&#21672;&#35810;&#19982;&#23398;&#31185;&#26381;&#21153;&#37096;\&#20449;&#24687;&#21672;&#35810;&#37096;&#24037;&#20316;&#65288;&#21016;&#26480;202007&#65289;\&#23398;&#31185;&#26381;&#21153;\2023&#24180;\2023&#24180;&#23398;&#31185;&#26381;&#21153;&#25253;&#21578;\XKBG%202023014%202023&#24180;&#23665;&#35199;&#21307;&#31185;&#22823;&#23398;ESI&#23398;&#31185;&#31454;&#20105;&#21147;&#20998;&#26512;&#25253;&#21578;\&#26426;&#26500;&#21644;&#23398;&#31185;&#25490;&#21517;&#27719;&#24635;&#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000" b="1" i="0" u="none" strike="noStrike" kern="1200" spc="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sz="1000" b="1">
                <a:latin typeface="宋体" panose="02010600030101010101" charset="-122"/>
                <a:ea typeface="宋体" panose="02010600030101010101" charset="-122"/>
                <a:cs typeface="宋体" panose="02010600030101010101" charset="-122"/>
                <a:sym typeface="宋体" panose="02010600030101010101" charset="-122"/>
              </a:rPr>
              <a:t>临床医学国际机构排名和发文趋势图</a:t>
            </a:r>
            <a:endParaRPr sz="1000" b="1">
              <a:latin typeface="宋体" panose="02010600030101010101" charset="-122"/>
              <a:ea typeface="宋体" panose="02010600030101010101" charset="-122"/>
              <a:cs typeface="宋体" panose="02010600030101010101" charset="-122"/>
              <a:sym typeface="宋体" panose="02010600030101010101" charset="-122"/>
            </a:endParaRPr>
          </a:p>
        </c:rich>
      </c:tx>
      <c:layout>
        <c:manualLayout>
          <c:xMode val="edge"/>
          <c:yMode val="edge"/>
          <c:x val="0.288684210526316"/>
          <c:y val="0.056712962962963"/>
        </c:manualLayout>
      </c:layout>
      <c:overlay val="0"/>
      <c:spPr>
        <a:noFill/>
        <a:ln>
          <a:noFill/>
        </a:ln>
        <a:effectLst/>
      </c:spPr>
    </c:title>
    <c:autoTitleDeleted val="0"/>
    <c:plotArea>
      <c:layout/>
      <c:lineChart>
        <c:grouping val="standard"/>
        <c:varyColors val="0"/>
        <c:ser>
          <c:idx val="0"/>
          <c:order val="0"/>
          <c:tx>
            <c:strRef>
              <c:f>[机构和学科排名汇总表.xls]临床医学!$B$1</c:f>
              <c:strCache>
                <c:ptCount val="1"/>
                <c:pt idx="0">
                  <c:v>国际排名</c:v>
                </c:pt>
              </c:strCache>
            </c:strRef>
          </c:tx>
          <c:spPr>
            <a:ln w="28575" cap="flat" cmpd="sng">
              <a:solidFill>
                <a:schemeClr val="accent1"/>
              </a:solidFill>
              <a:prstDash val="solid"/>
              <a:miter lim="800000"/>
            </a:ln>
            <a:effectLst/>
          </c:spPr>
          <c:marker>
            <c:symbol val="none"/>
          </c:marker>
          <c:dLbls>
            <c:dLbl>
              <c:idx val="0"/>
              <c:layout>
                <c:manualLayout>
                  <c:x val="0"/>
                  <c:y val="0.0233796296296296"/>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45833333333333"/>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143518518518519"/>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57894736842105"/>
                  <c:y val="0.0115740740740741"/>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173611111111111"/>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171052631578947"/>
                  <c:y val="0.0115740740740741"/>
                </c:manualLayout>
              </c:layout>
              <c:dLblPos val="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1"/>
                    </a:solidFill>
                    <a:latin typeface="宋体" panose="02010600030101010101" charset="-122"/>
                    <a:ea typeface="宋体" panose="02010600030101010101" charset="-122"/>
                    <a:cs typeface="宋体" panose="02010600030101010101" charset="-122"/>
                    <a:sym typeface="宋体" panose="02010600030101010101" charset="-122"/>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[机构和学科排名汇总表.xls]临床医学!$A$2:$A$7</c:f>
              <c:numCache>
                <c:formatCode>yyyy"年"m"月";@</c:formatCode>
                <c:ptCount val="6"/>
                <c:pt idx="0" c:formatCode="yyyy&quot;年&quot;m&quot;月&quot;;@">
                  <c:v>44938</c:v>
                </c:pt>
                <c:pt idx="1" c:formatCode="yyyy&quot;年&quot;m&quot;月&quot;;@">
                  <c:v>44994</c:v>
                </c:pt>
                <c:pt idx="2" c:formatCode="yyyy&quot;年&quot;m&quot;月&quot;;@">
                  <c:v>45057</c:v>
                </c:pt>
                <c:pt idx="3" c:formatCode="yyyy&quot;年&quot;m&quot;月&quot;;@">
                  <c:v>45120</c:v>
                </c:pt>
                <c:pt idx="4" c:formatCode="yyyy&quot;年&quot;m&quot;月&quot;;@">
                  <c:v>45184</c:v>
                </c:pt>
                <c:pt idx="5" c:formatCode="yyyy&quot;年&quot;m&quot;月&quot;;@">
                  <c:v>45239</c:v>
                </c:pt>
              </c:numCache>
            </c:numRef>
          </c:cat>
          <c:val>
            <c:numRef>
              <c:f>[机构和学科排名汇总表.xls]临床医学!$B$2:$B$7</c:f>
              <c:numCache>
                <c:formatCode>General</c:formatCode>
                <c:ptCount val="6"/>
                <c:pt idx="0">
                  <c:v>1726</c:v>
                </c:pt>
                <c:pt idx="1">
                  <c:v>1703</c:v>
                </c:pt>
                <c:pt idx="2">
                  <c:v>1560</c:v>
                </c:pt>
                <c:pt idx="3">
                  <c:v>1586</c:v>
                </c:pt>
                <c:pt idx="4">
                  <c:v>1583</c:v>
                </c:pt>
                <c:pt idx="5">
                  <c:v>1575</c:v>
                </c:pt>
              </c:numCache>
            </c:numRef>
          </c:val>
          <c:smooth val="0"/>
        </c:ser>
        <c:ser>
          <c:idx val="1"/>
          <c:order val="1"/>
          <c:tx>
            <c:strRef>
              <c:f>[机构和学科排名汇总表.xls]临床医学!$H$1</c:f>
              <c:strCache>
                <c:ptCount val="1"/>
                <c:pt idx="0">
                  <c:v>发文数</c:v>
                </c:pt>
              </c:strCache>
            </c:strRef>
          </c:tx>
          <c:spPr>
            <a:ln w="28575" cap="rnd">
              <a:solidFill>
                <a:schemeClr val="accent2"/>
              </a:solidFill>
              <a:round/>
            </a:ln>
            <a:effectLst/>
          </c:spPr>
          <c:marker>
            <c:symbol val="none"/>
          </c:marker>
          <c:dLbls>
            <c:dLbl>
              <c:idx val="0"/>
              <c:layout>
                <c:manualLayout>
                  <c:x val="0.00171052631578947"/>
                  <c:y val="-0.0203703703703704"/>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261574074074074"/>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71052631578947"/>
                  <c:y val="-0.0115740740740741"/>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115740740740741"/>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71052631578947"/>
                  <c:y val="-0.0145833333333333"/>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173611111111111"/>
                </c:manualLayout>
              </c:layout>
              <c:dLblPos val="b"/>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2"/>
                    </a:solidFill>
                    <a:latin typeface="宋体" panose="02010600030101010101" charset="-122"/>
                    <a:ea typeface="宋体" panose="02010600030101010101" charset="-122"/>
                    <a:cs typeface="宋体" panose="02010600030101010101" charset="-122"/>
                    <a:sym typeface="宋体" panose="02010600030101010101" charset="-122"/>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[机构和学科排名汇总表.xls]临床医学!$A$2:$A$7</c:f>
              <c:numCache>
                <c:formatCode>yyyy"年"m"月";@</c:formatCode>
                <c:ptCount val="6"/>
                <c:pt idx="0" c:formatCode="yyyy&quot;年&quot;m&quot;月&quot;;@">
                  <c:v>44938</c:v>
                </c:pt>
                <c:pt idx="1" c:formatCode="yyyy&quot;年&quot;m&quot;月&quot;;@">
                  <c:v>44994</c:v>
                </c:pt>
                <c:pt idx="2" c:formatCode="yyyy&quot;年&quot;m&quot;月&quot;;@">
                  <c:v>45057</c:v>
                </c:pt>
                <c:pt idx="3" c:formatCode="yyyy&quot;年&quot;m&quot;月&quot;;@">
                  <c:v>45120</c:v>
                </c:pt>
                <c:pt idx="4" c:formatCode="yyyy&quot;年&quot;m&quot;月&quot;;@">
                  <c:v>45184</c:v>
                </c:pt>
                <c:pt idx="5" c:formatCode="yyyy&quot;年&quot;m&quot;月&quot;;@">
                  <c:v>45239</c:v>
                </c:pt>
              </c:numCache>
            </c:numRef>
          </c:cat>
          <c:val>
            <c:numRef>
              <c:f>[机构和学科排名汇总表.xls]临床医学!$H$2:$H$7</c:f>
              <c:numCache>
                <c:formatCode>General</c:formatCode>
                <c:ptCount val="6"/>
                <c:pt idx="0">
                  <c:v>2898</c:v>
                </c:pt>
                <c:pt idx="1">
                  <c:v>3037</c:v>
                </c:pt>
                <c:pt idx="2">
                  <c:v>3143</c:v>
                </c:pt>
                <c:pt idx="3">
                  <c:v>3291</c:v>
                </c:pt>
                <c:pt idx="4">
                  <c:v>3465</c:v>
                </c:pt>
                <c:pt idx="5">
                  <c:v>3587</c:v>
                </c:pt>
              </c:numCache>
            </c:numRef>
          </c:val>
          <c:smooth val="0"/>
        </c:ser>
        <c:dLbls>
          <c:showLegendKey val="0"/>
          <c:showVal val="1"/>
          <c:showCatName val="0"/>
          <c:showSerName val="0"/>
          <c:showPercent val="0"/>
          <c:showBubbleSize val="0"/>
        </c:dLbls>
        <c:dropLines>
          <c:spPr>
            <a:ln w="9525" cap="flat" cmpd="sng" algn="ctr">
              <a:gradFill>
                <a:gsLst>
                  <a:gs pos="5000">
                    <a:schemeClr val="accent1"/>
                  </a:gs>
                  <a:gs pos="100000">
                    <a:schemeClr val="bg1"/>
                  </a:gs>
                </a:gsLst>
                <a:lin ang="5400000" scaled="1"/>
              </a:gradFill>
              <a:round/>
            </a:ln>
            <a:effectLst/>
          </c:spPr>
        </c:dropLines>
        <c:marker val="0"/>
        <c:smooth val="0"/>
        <c:axId val="902647803"/>
        <c:axId val="932197518"/>
      </c:lineChart>
      <c:dateAx>
        <c:axId val="902647803"/>
        <c:scaling>
          <c:orientation val="minMax"/>
        </c:scaling>
        <c:delete val="0"/>
        <c:axPos val="b"/>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1" i="0" u="none" strike="noStrike" kern="1200" baseline="0">
                <a:solidFill>
                  <a:schemeClr val="tx1">
                    <a:lumMod val="50000"/>
                    <a:lumOff val="50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932197518"/>
        <c:crosses val="autoZero"/>
        <c:auto val="1"/>
        <c:lblOffset val="100"/>
        <c:baseTimeUnit val="months"/>
        <c:majorUnit val="2"/>
        <c:majorTimeUnit val="months"/>
      </c:dateAx>
      <c:valAx>
        <c:axId val="932197518"/>
        <c:scaling>
          <c:orientation val="minMax"/>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1" i="0" u="none" strike="noStrike" kern="1200" baseline="0">
                <a:solidFill>
                  <a:schemeClr val="tx1">
                    <a:lumMod val="50000"/>
                    <a:lumOff val="50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902647803"/>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ayout>
        <c:manualLayout>
          <c:xMode val="edge"/>
          <c:yMode val="edge"/>
          <c:x val="0.345131578947368"/>
          <c:y val="0.856018518518519"/>
          <c:w val="0.309868421052632"/>
          <c:h val="0.133101851851852"/>
        </c:manualLayout>
      </c:layout>
      <c:overlay val="0"/>
      <c:spPr>
        <a:noFill/>
        <a:ln>
          <a:noFill/>
        </a:ln>
        <a:effectLst/>
      </c:spPr>
      <c:txPr>
        <a:bodyPr rot="0" spcFirstLastPara="0" vertOverflow="ellipsis" vert="horz" wrap="square" anchor="ctr" anchorCtr="1" forceAA="0"/>
        <a:lstStyle/>
        <a:p>
          <a:pPr>
            <a:defRPr lang="zh-CN" sz="900" b="1"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
    <c:plotVisOnly val="1"/>
    <c:dispBlanksAs val="gap"/>
    <c:showDLblsOverMax val="0"/>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b="1">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000" b="1" i="0" u="none" strike="noStrike" kern="1200" spc="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sz="1000" b="1">
                <a:latin typeface="宋体" panose="02010600030101010101" charset="-122"/>
                <a:ea typeface="宋体" panose="02010600030101010101" charset="-122"/>
                <a:cs typeface="宋体" panose="02010600030101010101" charset="-122"/>
                <a:sym typeface="宋体" panose="02010600030101010101" charset="-122"/>
              </a:rPr>
              <a:t>神经科学与行为学国际排名与发文趋势图</a:t>
            </a:r>
            <a:endParaRPr sz="1000" b="1">
              <a:latin typeface="宋体" panose="02010600030101010101" charset="-122"/>
              <a:ea typeface="宋体" panose="02010600030101010101" charset="-122"/>
              <a:cs typeface="宋体" panose="02010600030101010101" charset="-122"/>
              <a:sym typeface="宋体" panose="02010600030101010101" charset="-122"/>
            </a:endParaRPr>
          </a:p>
        </c:rich>
      </c:tx>
      <c:layout/>
      <c:overlay val="0"/>
      <c:spPr>
        <a:noFill/>
        <a:ln>
          <a:noFill/>
        </a:ln>
        <a:effectLst/>
      </c:spPr>
    </c:title>
    <c:autoTitleDeleted val="0"/>
    <c:plotArea>
      <c:layout/>
      <c:lineChart>
        <c:grouping val="standard"/>
        <c:varyColors val="0"/>
        <c:ser>
          <c:idx val="0"/>
          <c:order val="0"/>
          <c:tx>
            <c:strRef>
              <c:f>[机构和学科排名汇总表.xls]神经科学与行为学!$B$1</c:f>
              <c:strCache>
                <c:ptCount val="1"/>
                <c:pt idx="0">
                  <c:v>国际排名</c:v>
                </c:pt>
              </c:strCache>
            </c:strRef>
          </c:tx>
          <c:spPr>
            <a:ln w="28575" cap="flat" cmpd="sng">
              <a:solidFill>
                <a:schemeClr val="accent1"/>
              </a:solidFill>
              <a:prstDash val="solid"/>
              <a:miter lim="800000"/>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1"/>
                    </a:solidFill>
                    <a:latin typeface="宋体" panose="02010600030101010101" charset="-122"/>
                    <a:ea typeface="宋体" panose="02010600030101010101" charset="-122"/>
                    <a:cs typeface="宋体" panose="02010600030101010101" charset="-122"/>
                    <a:sym typeface="宋体" panose="02010600030101010101" charset="-122"/>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[机构和学科排名汇总表.xls]神经科学与行为学!$A$2:$A$7</c:f>
              <c:numCache>
                <c:formatCode>yyyy"年"m"月";@</c:formatCode>
                <c:ptCount val="6"/>
                <c:pt idx="0" c:formatCode="yyyy&quot;年&quot;m&quot;月&quot;;@">
                  <c:v>44938</c:v>
                </c:pt>
                <c:pt idx="1" c:formatCode="yyyy&quot;年&quot;m&quot;月&quot;;@">
                  <c:v>44994</c:v>
                </c:pt>
                <c:pt idx="2" c:formatCode="yyyy&quot;年&quot;m&quot;月&quot;;@">
                  <c:v>45057</c:v>
                </c:pt>
                <c:pt idx="3" c:formatCode="yyyy&quot;年&quot;m&quot;月&quot;;@">
                  <c:v>45120</c:v>
                </c:pt>
                <c:pt idx="4" c:formatCode="yyyy&quot;年&quot;m&quot;月&quot;;@">
                  <c:v>45184</c:v>
                </c:pt>
                <c:pt idx="5" c:formatCode="yyyy&quot;年&quot;m&quot;月&quot;;@">
                  <c:v>45239</c:v>
                </c:pt>
              </c:numCache>
            </c:numRef>
          </c:cat>
          <c:val>
            <c:numRef>
              <c:f>[机构和学科排名汇总表.xls]神经科学与行为学!$B$2:$B$7</c:f>
              <c:numCache>
                <c:formatCode>General</c:formatCode>
                <c:ptCount val="6"/>
                <c:pt idx="0">
                  <c:v>1028</c:v>
                </c:pt>
                <c:pt idx="1">
                  <c:v>1018</c:v>
                </c:pt>
                <c:pt idx="2">
                  <c:v>971</c:v>
                </c:pt>
                <c:pt idx="3">
                  <c:v>987</c:v>
                </c:pt>
                <c:pt idx="4">
                  <c:v>976</c:v>
                </c:pt>
                <c:pt idx="5">
                  <c:v>968</c:v>
                </c:pt>
              </c:numCache>
            </c:numRef>
          </c:val>
          <c:smooth val="0"/>
        </c:ser>
        <c:ser>
          <c:idx val="1"/>
          <c:order val="1"/>
          <c:tx>
            <c:strRef>
              <c:f>[机构和学科排名汇总表.xls]神经科学与行为学!$H$1</c:f>
              <c:strCache>
                <c:ptCount val="1"/>
                <c:pt idx="0">
                  <c:v>发文数</c:v>
                </c:pt>
              </c:strCache>
            </c:strRef>
          </c:tx>
          <c:spPr>
            <a:ln w="28575" cap="rnd">
              <a:solidFill>
                <a:schemeClr val="accent2"/>
              </a:solidFill>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2"/>
                    </a:solidFill>
                    <a:latin typeface="宋体" panose="02010600030101010101" charset="-122"/>
                    <a:ea typeface="宋体" panose="02010600030101010101" charset="-122"/>
                    <a:cs typeface="宋体" panose="02010600030101010101" charset="-122"/>
                    <a:sym typeface="宋体" panose="02010600030101010101" charset="-122"/>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[机构和学科排名汇总表.xls]神经科学与行为学!$A$2:$A$7</c:f>
              <c:numCache>
                <c:formatCode>yyyy"年"m"月";@</c:formatCode>
                <c:ptCount val="6"/>
                <c:pt idx="0" c:formatCode="yyyy&quot;年&quot;m&quot;月&quot;;@">
                  <c:v>44938</c:v>
                </c:pt>
                <c:pt idx="1" c:formatCode="yyyy&quot;年&quot;m&quot;月&quot;;@">
                  <c:v>44994</c:v>
                </c:pt>
                <c:pt idx="2" c:formatCode="yyyy&quot;年&quot;m&quot;月&quot;;@">
                  <c:v>45057</c:v>
                </c:pt>
                <c:pt idx="3" c:formatCode="yyyy&quot;年&quot;m&quot;月&quot;;@">
                  <c:v>45120</c:v>
                </c:pt>
                <c:pt idx="4" c:formatCode="yyyy&quot;年&quot;m&quot;月&quot;;@">
                  <c:v>45184</c:v>
                </c:pt>
                <c:pt idx="5" c:formatCode="yyyy&quot;年&quot;m&quot;月&quot;;@">
                  <c:v>45239</c:v>
                </c:pt>
              </c:numCache>
            </c:numRef>
          </c:cat>
          <c:val>
            <c:numRef>
              <c:f>[机构和学科排名汇总表.xls]神经科学与行为学!$H$2:$H$7</c:f>
              <c:numCache>
                <c:formatCode>General</c:formatCode>
                <c:ptCount val="6"/>
                <c:pt idx="0">
                  <c:v>621</c:v>
                </c:pt>
                <c:pt idx="1">
                  <c:v>641</c:v>
                </c:pt>
                <c:pt idx="2">
                  <c:v>643</c:v>
                </c:pt>
                <c:pt idx="3">
                  <c:v>665</c:v>
                </c:pt>
                <c:pt idx="4">
                  <c:v>680</c:v>
                </c:pt>
                <c:pt idx="5">
                  <c:v>688</c:v>
                </c:pt>
              </c:numCache>
            </c:numRef>
          </c:val>
          <c:smooth val="0"/>
        </c:ser>
        <c:dLbls>
          <c:showLegendKey val="0"/>
          <c:showVal val="1"/>
          <c:showCatName val="0"/>
          <c:showSerName val="0"/>
          <c:showPercent val="0"/>
          <c:showBubbleSize val="0"/>
        </c:dLbls>
        <c:dropLines>
          <c:spPr>
            <a:ln w="9525" cap="flat" cmpd="sng" algn="ctr">
              <a:gradFill>
                <a:gsLst>
                  <a:gs pos="5000">
                    <a:schemeClr val="accent1"/>
                  </a:gs>
                  <a:gs pos="100000">
                    <a:schemeClr val="bg1"/>
                  </a:gs>
                </a:gsLst>
                <a:lin ang="5400000" scaled="1"/>
              </a:gradFill>
              <a:round/>
            </a:ln>
            <a:effectLst/>
          </c:spPr>
        </c:dropLines>
        <c:marker val="0"/>
        <c:smooth val="0"/>
        <c:axId val="362456366"/>
        <c:axId val="599287835"/>
      </c:lineChart>
      <c:dateAx>
        <c:axId val="362456366"/>
        <c:scaling>
          <c:orientation val="minMax"/>
        </c:scaling>
        <c:delete val="0"/>
        <c:axPos val="b"/>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1" i="0" u="none" strike="noStrike" kern="1200" baseline="0">
                <a:solidFill>
                  <a:schemeClr val="tx1">
                    <a:lumMod val="50000"/>
                    <a:lumOff val="50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599287835"/>
        <c:crosses val="autoZero"/>
        <c:auto val="1"/>
        <c:lblOffset val="100"/>
        <c:baseTimeUnit val="months"/>
        <c:majorUnit val="2"/>
        <c:majorTimeUnit val="months"/>
      </c:dateAx>
      <c:valAx>
        <c:axId val="599287835"/>
        <c:scaling>
          <c:orientation val="minMax"/>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1" i="0" u="none" strike="noStrike" kern="1200" baseline="0">
                <a:solidFill>
                  <a:schemeClr val="tx1">
                    <a:lumMod val="50000"/>
                    <a:lumOff val="50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36245636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ayout/>
      <c:overlay val="0"/>
      <c:spPr>
        <a:noFill/>
        <a:ln>
          <a:noFill/>
        </a:ln>
        <a:effectLst/>
      </c:spPr>
      <c:txPr>
        <a:bodyPr rot="0" spcFirstLastPara="0" vertOverflow="ellipsis" vert="horz" wrap="square" anchor="ctr" anchorCtr="1" forceAA="0"/>
        <a:lstStyle/>
        <a:p>
          <a:pPr>
            <a:defRPr lang="zh-CN" sz="900" b="1"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
    <c:plotVisOnly val="1"/>
    <c:dispBlanksAs val="gap"/>
    <c:showDLblsOverMax val="0"/>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b="1">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000" b="1" i="0" u="none" strike="noStrike" kern="1200" spc="0" baseline="0">
                <a:solidFill>
                  <a:sysClr val="windowText" lastClr="000000"/>
                </a:solidFill>
                <a:latin typeface="宋体" panose="02010600030101010101" charset="-122"/>
                <a:ea typeface="宋体" panose="02010600030101010101" charset="-122"/>
                <a:cs typeface="宋体" panose="02010600030101010101" charset="-122"/>
                <a:sym typeface="宋体" panose="02010600030101010101" charset="-122"/>
              </a:defRPr>
            </a:pPr>
            <a:r>
              <a:rPr sz="1000" b="1">
                <a:latin typeface="宋体" panose="02010600030101010101" charset="-122"/>
                <a:ea typeface="宋体" panose="02010600030101010101" charset="-122"/>
                <a:cs typeface="宋体" panose="02010600030101010101" charset="-122"/>
                <a:sym typeface="宋体" panose="02010600030101010101" charset="-122"/>
              </a:rPr>
              <a:t>药理学和毒理学国际排名和发文趋势图</a:t>
            </a:r>
            <a:endParaRPr sz="1000" b="1">
              <a:latin typeface="宋体" panose="02010600030101010101" charset="-122"/>
              <a:ea typeface="宋体" panose="02010600030101010101" charset="-122"/>
              <a:cs typeface="宋体" panose="02010600030101010101" charset="-122"/>
              <a:sym typeface="宋体" panose="02010600030101010101" charset="-122"/>
            </a:endParaRPr>
          </a:p>
        </c:rich>
      </c:tx>
      <c:layout/>
      <c:overlay val="0"/>
      <c:spPr>
        <a:noFill/>
        <a:ln>
          <a:noFill/>
        </a:ln>
        <a:effectLst/>
      </c:spPr>
    </c:title>
    <c:autoTitleDeleted val="0"/>
    <c:plotArea>
      <c:layout/>
      <c:lineChart>
        <c:grouping val="standard"/>
        <c:varyColors val="0"/>
        <c:ser>
          <c:idx val="0"/>
          <c:order val="0"/>
          <c:tx>
            <c:strRef>
              <c:f>[机构和学科排名汇总表.xls]药理学和毒理学!$B$1</c:f>
              <c:strCache>
                <c:ptCount val="1"/>
                <c:pt idx="0">
                  <c:v>国际排名</c:v>
                </c:pt>
              </c:strCache>
            </c:strRef>
          </c:tx>
          <c:spPr>
            <a:ln w="28575" cap="flat" cmpd="sng">
              <a:solidFill>
                <a:srgbClr val="4874CB"/>
              </a:solidFill>
              <a:prstDash val="solid"/>
              <a:miter lim="800000"/>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rgbClr val="4874CB"/>
                    </a:solidFill>
                    <a:latin typeface="宋体" panose="02010600030101010101" charset="-122"/>
                    <a:ea typeface="宋体" panose="02010600030101010101" charset="-122"/>
                    <a:cs typeface="宋体" panose="02010600030101010101" charset="-122"/>
                    <a:sym typeface="宋体" panose="02010600030101010101" charset="-122"/>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numRef>
              <c:f>[机构和学科排名汇总表.xls]药理学和毒理学!$A$2:$A$7</c:f>
              <c:numCache>
                <c:formatCode>yyyy"年"m"月";@</c:formatCode>
                <c:ptCount val="6"/>
                <c:pt idx="0" c:formatCode="yyyy&quot;年&quot;m&quot;月&quot;;@">
                  <c:v>44938</c:v>
                </c:pt>
                <c:pt idx="1" c:formatCode="yyyy&quot;年&quot;m&quot;月&quot;;@">
                  <c:v>44994</c:v>
                </c:pt>
                <c:pt idx="2" c:formatCode="yyyy&quot;年&quot;m&quot;月&quot;;@">
                  <c:v>45057</c:v>
                </c:pt>
                <c:pt idx="3" c:formatCode="yyyy&quot;年&quot;m&quot;月&quot;;@">
                  <c:v>45120</c:v>
                </c:pt>
                <c:pt idx="4" c:formatCode="yyyy&quot;年&quot;m&quot;月&quot;;@">
                  <c:v>45184</c:v>
                </c:pt>
                <c:pt idx="5" c:formatCode="yyyy&quot;年&quot;m&quot;月&quot;;@">
                  <c:v>45239</c:v>
                </c:pt>
              </c:numCache>
            </c:numRef>
          </c:cat>
          <c:val>
            <c:numRef>
              <c:f>[机构和学科排名汇总表.xls]药理学和毒理学!$B$2:$B$7</c:f>
              <c:numCache>
                <c:formatCode>General</c:formatCode>
                <c:ptCount val="6"/>
                <c:pt idx="0">
                  <c:v>846</c:v>
                </c:pt>
                <c:pt idx="1">
                  <c:v>832</c:v>
                </c:pt>
                <c:pt idx="2">
                  <c:v>767</c:v>
                </c:pt>
                <c:pt idx="3">
                  <c:v>772</c:v>
                </c:pt>
                <c:pt idx="4">
                  <c:v>759</c:v>
                </c:pt>
                <c:pt idx="5">
                  <c:v>755</c:v>
                </c:pt>
              </c:numCache>
            </c:numRef>
          </c:val>
          <c:smooth val="0"/>
        </c:ser>
        <c:ser>
          <c:idx val="1"/>
          <c:order val="1"/>
          <c:tx>
            <c:strRef>
              <c:f>[机构和学科排名汇总表.xls]药理学和毒理学!$H$1</c:f>
              <c:strCache>
                <c:ptCount val="1"/>
                <c:pt idx="0">
                  <c:v>发文数</c:v>
                </c:pt>
              </c:strCache>
            </c:strRef>
          </c:tx>
          <c:spPr>
            <a:ln w="28575" cap="rnd">
              <a:solidFill>
                <a:srgbClr val="EE822F"/>
              </a:solidFill>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rgbClr val="EE822F"/>
                    </a:solidFill>
                    <a:latin typeface="宋体" panose="02010600030101010101" charset="-122"/>
                    <a:ea typeface="宋体" panose="02010600030101010101" charset="-122"/>
                    <a:cs typeface="宋体" panose="02010600030101010101" charset="-122"/>
                    <a:sym typeface="宋体" panose="02010600030101010101" charset="-122"/>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ysClr val="windowText" lastClr="000000">
                          <a:lumMod val="35000"/>
                          <a:lumOff val="65000"/>
                        </a:sysClr>
                      </a:solidFill>
                      <a:round/>
                    </a:ln>
                    <a:effectLst/>
                  </c:spPr>
                </c15:leaderLines>
              </c:ext>
            </c:extLst>
          </c:dLbls>
          <c:cat>
            <c:numRef>
              <c:f>[机构和学科排名汇总表.xls]药理学和毒理学!$A$2:$A$7</c:f>
              <c:numCache>
                <c:formatCode>yyyy"年"m"月";@</c:formatCode>
                <c:ptCount val="6"/>
                <c:pt idx="0" c:formatCode="yyyy&quot;年&quot;m&quot;月&quot;;@">
                  <c:v>44938</c:v>
                </c:pt>
                <c:pt idx="1" c:formatCode="yyyy&quot;年&quot;m&quot;月&quot;;@">
                  <c:v>44994</c:v>
                </c:pt>
                <c:pt idx="2" c:formatCode="yyyy&quot;年&quot;m&quot;月&quot;;@">
                  <c:v>45057</c:v>
                </c:pt>
                <c:pt idx="3" c:formatCode="yyyy&quot;年&quot;m&quot;月&quot;;@">
                  <c:v>45120</c:v>
                </c:pt>
                <c:pt idx="4" c:formatCode="yyyy&quot;年&quot;m&quot;月&quot;;@">
                  <c:v>45184</c:v>
                </c:pt>
                <c:pt idx="5" c:formatCode="yyyy&quot;年&quot;m&quot;月&quot;;@">
                  <c:v>45239</c:v>
                </c:pt>
              </c:numCache>
            </c:numRef>
          </c:cat>
          <c:val>
            <c:numRef>
              <c:f>[机构和学科排名汇总表.xls]药理学和毒理学!$H$2:$H$7</c:f>
              <c:numCache>
                <c:formatCode>General</c:formatCode>
                <c:ptCount val="6"/>
                <c:pt idx="0">
                  <c:v>598</c:v>
                </c:pt>
                <c:pt idx="1">
                  <c:v>615</c:v>
                </c:pt>
                <c:pt idx="2">
                  <c:v>622</c:v>
                </c:pt>
                <c:pt idx="3">
                  <c:v>640</c:v>
                </c:pt>
                <c:pt idx="4">
                  <c:v>678</c:v>
                </c:pt>
                <c:pt idx="5">
                  <c:v>697</c:v>
                </c:pt>
              </c:numCache>
            </c:numRef>
          </c:val>
          <c:smooth val="0"/>
        </c:ser>
        <c:dLbls>
          <c:showLegendKey val="0"/>
          <c:showVal val="1"/>
          <c:showCatName val="0"/>
          <c:showSerName val="0"/>
          <c:showPercent val="0"/>
          <c:showBubbleSize val="0"/>
        </c:dLbls>
        <c:dropLines>
          <c:spPr>
            <a:ln w="9525" cap="flat" cmpd="sng" algn="ctr">
              <a:gradFill>
                <a:gsLst>
                  <a:gs pos="5000">
                    <a:srgbClr val="4874CB"/>
                  </a:gs>
                  <a:gs pos="100000">
                    <a:sysClr val="window" lastClr="FFFFFF"/>
                  </a:gs>
                </a:gsLst>
                <a:lin ang="5400000" scaled="1"/>
              </a:gradFill>
              <a:round/>
            </a:ln>
            <a:effectLst/>
          </c:spPr>
        </c:dropLines>
        <c:marker val="0"/>
        <c:smooth val="0"/>
        <c:axId val="548051688"/>
        <c:axId val="760606070"/>
      </c:lineChart>
      <c:dateAx>
        <c:axId val="548051688"/>
        <c:scaling>
          <c:orientation val="minMax"/>
        </c:scaling>
        <c:delete val="0"/>
        <c:axPos val="b"/>
        <c:numFmt formatCode="General" sourceLinked="1"/>
        <c:majorTickMark val="none"/>
        <c:minorTickMark val="none"/>
        <c:tickLblPos val="nextTo"/>
        <c:spPr>
          <a:noFill/>
          <a:ln w="9525" cap="flat" cmpd="sng" algn="ctr">
            <a:solidFill>
              <a:sysClr val="window" lastClr="FFFFFF">
                <a:lumMod val="85000"/>
              </a:sysClr>
            </a:solidFill>
            <a:round/>
          </a:ln>
          <a:effectLst/>
        </c:spPr>
        <c:txPr>
          <a:bodyPr rot="-60000000" spcFirstLastPara="0" vertOverflow="ellipsis" vert="horz" wrap="square" anchor="ctr" anchorCtr="1" forceAA="0"/>
          <a:lstStyle/>
          <a:p>
            <a:pPr>
              <a:defRPr lang="zh-CN" sz="900" b="1" i="0" u="none" strike="noStrike" kern="1200" baseline="0">
                <a:solidFill>
                  <a:sysClr val="windowText" lastClr="000000">
                    <a:lumMod val="50000"/>
                    <a:lumOff val="50000"/>
                  </a:sys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760606070"/>
        <c:crosses val="autoZero"/>
        <c:auto val="1"/>
        <c:lblOffset val="100"/>
        <c:baseTimeUnit val="months"/>
        <c:majorUnit val="2"/>
        <c:majorTimeUnit val="months"/>
      </c:dateAx>
      <c:valAx>
        <c:axId val="760606070"/>
        <c:scaling>
          <c:orientation val="minMax"/>
        </c:scaling>
        <c:delete val="0"/>
        <c:axPos val="l"/>
        <c:numFmt formatCode="General" sourceLinked="1"/>
        <c:majorTickMark val="none"/>
        <c:minorTickMark val="none"/>
        <c:tickLblPos val="nextTo"/>
        <c:spPr>
          <a:noFill/>
          <a:ln w="9525" cap="flat" cmpd="sng" algn="ctr">
            <a:solidFill>
              <a:sysClr val="window" lastClr="FFFFFF">
                <a:lumMod val="85000"/>
              </a:sysClr>
            </a:solidFill>
            <a:round/>
          </a:ln>
          <a:effectLst/>
        </c:spPr>
        <c:txPr>
          <a:bodyPr rot="-60000000" spcFirstLastPara="0" vertOverflow="ellipsis" vert="horz" wrap="square" anchor="ctr" anchorCtr="1" forceAA="0"/>
          <a:lstStyle/>
          <a:p>
            <a:pPr>
              <a:defRPr lang="zh-CN" sz="900" b="1" i="0" u="none" strike="noStrike" kern="1200" baseline="0">
                <a:solidFill>
                  <a:sysClr val="windowText" lastClr="000000">
                    <a:lumMod val="50000"/>
                    <a:lumOff val="50000"/>
                  </a:sys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54805168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ysClr val="windowText" lastClr="000000">
                    <a:lumMod val="65000"/>
                    <a:lumOff val="35000"/>
                  </a:sys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1"/>
        <c:txPr>
          <a:bodyPr rot="0" spcFirstLastPara="0" vertOverflow="ellipsis" vert="horz" wrap="square" anchor="ctr" anchorCtr="1"/>
          <a:lstStyle/>
          <a:p>
            <a:pPr>
              <a:defRPr lang="zh-CN" sz="900" b="1" i="0" u="none" strike="noStrike" kern="1200" baseline="0">
                <a:solidFill>
                  <a:sysClr val="windowText" lastClr="000000">
                    <a:lumMod val="65000"/>
                    <a:lumOff val="35000"/>
                  </a:sys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ayout/>
      <c:overlay val="0"/>
      <c:spPr>
        <a:noFill/>
        <a:ln>
          <a:noFill/>
        </a:ln>
        <a:effectLst/>
      </c:spPr>
      <c:txPr>
        <a:bodyPr rot="0" spcFirstLastPara="0" vertOverflow="ellipsis" vert="horz" wrap="square" anchor="ctr" anchorCtr="1" forceAA="0"/>
        <a:lstStyle/>
        <a:p>
          <a:pPr>
            <a:defRPr lang="zh-CN" sz="900" b="1" i="0" u="none" strike="noStrike" kern="1200" baseline="0">
              <a:solidFill>
                <a:sysClr val="windowText" lastClr="000000">
                  <a:lumMod val="65000"/>
                  <a:lumOff val="35000"/>
                </a:sysClr>
              </a:solidFill>
              <a:latin typeface="宋体" panose="02010600030101010101" charset="-122"/>
              <a:ea typeface="宋体" panose="02010600030101010101" charset="-122"/>
              <a:cs typeface="宋体" panose="02010600030101010101" charset="-122"/>
              <a:sym typeface="宋体" panose="02010600030101010101" charset="-122"/>
            </a:defRPr>
          </a:pPr>
        </a:p>
      </c:txPr>
    </c:legend>
    <c:plotVisOnly val="1"/>
    <c:dispBlanksAs val="gap"/>
    <c:showDLblsOverMax val="0"/>
  </c:chart>
  <c:spPr>
    <a:solidFill>
      <a:sysClr val="window" lastClr="FFFFFF"/>
    </a:solidFill>
    <a:ln w="9525" cap="flat" cmpd="sng" algn="ctr">
      <a:solidFill>
        <a:sysClr val="window" lastClr="FFFFFF">
          <a:lumMod val="85000"/>
        </a:sysClr>
      </a:solidFill>
      <a:round/>
    </a:ln>
    <a:effectLst>
      <a:outerShdw blurRad="63500" dist="37357" dir="2700000" sx="0" sy="0" rotWithShape="0">
        <a:scrgbClr r="0" g="0" b="0"/>
      </a:outerShdw>
    </a:effectLst>
  </c:spPr>
  <c:txPr>
    <a:bodyPr/>
    <a:lstStyle/>
    <a:p>
      <a:pPr>
        <a:defRPr lang="zh-CN" b="1">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000" b="1" i="0" u="none" strike="noStrike" kern="1200" spc="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sz="1000" b="1">
                <a:latin typeface="宋体" panose="02010600030101010101" charset="-122"/>
                <a:ea typeface="宋体" panose="02010600030101010101" charset="-122"/>
                <a:cs typeface="宋体" panose="02010600030101010101" charset="-122"/>
                <a:sym typeface="宋体" panose="02010600030101010101" charset="-122"/>
              </a:rPr>
              <a:t>潜力学科潜力值趋势图</a:t>
            </a:r>
            <a:endParaRPr sz="1000" b="1">
              <a:latin typeface="宋体" panose="02010600030101010101" charset="-122"/>
              <a:ea typeface="宋体" panose="02010600030101010101" charset="-122"/>
              <a:cs typeface="宋体" panose="02010600030101010101" charset="-122"/>
              <a:sym typeface="宋体" panose="02010600030101010101" charset="-122"/>
            </a:endParaRPr>
          </a:p>
        </c:rich>
      </c:tx>
      <c:layout/>
      <c:overlay val="0"/>
      <c:spPr>
        <a:noFill/>
        <a:ln>
          <a:noFill/>
        </a:ln>
        <a:effectLst/>
      </c:spPr>
    </c:title>
    <c:autoTitleDeleted val="0"/>
    <c:plotArea>
      <c:layout>
        <c:manualLayout>
          <c:layoutTarget val="inner"/>
          <c:xMode val="edge"/>
          <c:yMode val="edge"/>
          <c:x val="0.111277372262774"/>
          <c:y val="0.10026319087605"/>
          <c:w val="0.868649635036496"/>
          <c:h val="0.780724401554079"/>
        </c:manualLayout>
      </c:layout>
      <c:lineChart>
        <c:grouping val="standard"/>
        <c:varyColors val="0"/>
        <c:ser>
          <c:idx val="0"/>
          <c:order val="0"/>
          <c:tx>
            <c:strRef>
              <c:f>[机构和学科排名汇总表.xls]潜力学科!$B$17</c:f>
              <c:strCache>
                <c:ptCount val="1"/>
                <c:pt idx="0">
                  <c:v>生物学和生物化学</c:v>
                </c:pt>
              </c:strCache>
            </c:strRef>
          </c:tx>
          <c:spPr>
            <a:ln w="28575" cap="flat" cmpd="sng">
              <a:solidFill>
                <a:schemeClr val="accent1"/>
              </a:solidFill>
              <a:prstDash val="solid"/>
              <a:miter lim="800000"/>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1"/>
                    </a:solidFill>
                    <a:latin typeface="宋体" panose="02010600030101010101" charset="-122"/>
                    <a:ea typeface="宋体" panose="02010600030101010101" charset="-122"/>
                    <a:cs typeface="宋体" panose="02010600030101010101" charset="-122"/>
                    <a:sym typeface="宋体" panose="02010600030101010101" charset="-122"/>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[机构和学科排名汇总表.xls]潜力学科!$A$2:$A$6</c:f>
              <c:numCache>
                <c:formatCode>yyyy"年"m"月";@</c:formatCode>
                <c:ptCount val="5"/>
                <c:pt idx="0" c:formatCode="yyyy&quot;年&quot;m&quot;月&quot;;@">
                  <c:v>44986</c:v>
                </c:pt>
                <c:pt idx="1" c:formatCode="yyyy&quot;年&quot;m&quot;月&quot;;@">
                  <c:v>45047</c:v>
                </c:pt>
                <c:pt idx="2" c:formatCode="yyyy&quot;年&quot;m&quot;月&quot;;@">
                  <c:v>45108</c:v>
                </c:pt>
                <c:pt idx="3" c:formatCode="yyyy&quot;年&quot;m&quot;月&quot;;@">
                  <c:v>45170</c:v>
                </c:pt>
                <c:pt idx="4" c:formatCode="yyyy&quot;年&quot;m&quot;月&quot;;@">
                  <c:v>45231</c:v>
                </c:pt>
              </c:numCache>
            </c:numRef>
          </c:cat>
          <c:val>
            <c:numRef>
              <c:f>[机构和学科排名汇总表.xls]潜力学科!$F$17:$F$21</c:f>
              <c:numCache>
                <c:formatCode>0.00%</c:formatCode>
                <c:ptCount val="5"/>
                <c:pt idx="0">
                  <c:v>0.8326</c:v>
                </c:pt>
                <c:pt idx="1">
                  <c:v>0.873</c:v>
                </c:pt>
                <c:pt idx="2">
                  <c:v>0.9106</c:v>
                </c:pt>
                <c:pt idx="3">
                  <c:v>0.9682</c:v>
                </c:pt>
                <c:pt idx="4">
                  <c:v>1.0204</c:v>
                </c:pt>
              </c:numCache>
            </c:numRef>
          </c:val>
          <c:smooth val="0"/>
        </c:ser>
        <c:ser>
          <c:idx val="1"/>
          <c:order val="1"/>
          <c:tx>
            <c:strRef>
              <c:f>[机构和学科排名汇总表.xls]潜力学科!$B$16</c:f>
              <c:strCache>
                <c:ptCount val="1"/>
                <c:pt idx="0">
                  <c:v>社会科学总论</c:v>
                </c:pt>
              </c:strCache>
            </c:strRef>
          </c:tx>
          <c:spPr>
            <a:ln w="28575" cap="rnd">
              <a:solidFill>
                <a:srgbClr val="EE822F"/>
              </a:solidFill>
              <a:round/>
            </a:ln>
            <a:effectLst/>
          </c:spPr>
          <c:marker>
            <c:symbol val="none"/>
          </c:marker>
          <c:dLbls>
            <c:dLbl>
              <c:idx val="0"/>
              <c:layout>
                <c:manualLayout>
                  <c:x val="0.0141602606341752"/>
                  <c:y val="-0.0823540104031361"/>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50547445255474"/>
                  <c:y val="-0.0782149375554539"/>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11471233556408"/>
                  <c:y val="-0.0767142059163583"/>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965798472581336"/>
                  <c:y val="-0.0744550678976021"/>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410583941605839"/>
                  <c:y val="-0.0620378493545557"/>
                </c:manualLayout>
              </c:layout>
              <c:dLblPos val="b"/>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2"/>
                    </a:solidFill>
                    <a:latin typeface="宋体" panose="02010600030101010101" charset="-122"/>
                    <a:ea typeface="宋体" panose="02010600030101010101" charset="-122"/>
                    <a:cs typeface="宋体" panose="02010600030101010101" charset="-122"/>
                    <a:sym typeface="宋体" panose="02010600030101010101" charset="-122"/>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[机构和学科排名汇总表.xls]潜力学科!$A$2:$A$6</c:f>
              <c:numCache>
                <c:formatCode>yyyy"年"m"月";@</c:formatCode>
                <c:ptCount val="5"/>
                <c:pt idx="0" c:formatCode="yyyy&quot;年&quot;m&quot;月&quot;;@">
                  <c:v>44986</c:v>
                </c:pt>
                <c:pt idx="1" c:formatCode="yyyy&quot;年&quot;m&quot;月&quot;;@">
                  <c:v>45047</c:v>
                </c:pt>
                <c:pt idx="2" c:formatCode="yyyy&quot;年&quot;m&quot;月&quot;;@">
                  <c:v>45108</c:v>
                </c:pt>
                <c:pt idx="3" c:formatCode="yyyy&quot;年&quot;m&quot;月&quot;;@">
                  <c:v>45170</c:v>
                </c:pt>
                <c:pt idx="4" c:formatCode="yyyy&quot;年&quot;m&quot;月&quot;;@">
                  <c:v>45231</c:v>
                </c:pt>
              </c:numCache>
            </c:numRef>
          </c:cat>
          <c:val>
            <c:numRef>
              <c:f>[机构和学科排名汇总表.xls]潜力学科!$F$12:$F$16</c:f>
              <c:numCache>
                <c:formatCode>0.00%</c:formatCode>
                <c:ptCount val="5"/>
                <c:pt idx="0">
                  <c:v>0.6688</c:v>
                </c:pt>
                <c:pt idx="1">
                  <c:v>0.709</c:v>
                </c:pt>
                <c:pt idx="2">
                  <c:v>0.7821</c:v>
                </c:pt>
                <c:pt idx="3">
                  <c:v>0.8614</c:v>
                </c:pt>
                <c:pt idx="4">
                  <c:v>0.91</c:v>
                </c:pt>
              </c:numCache>
            </c:numRef>
          </c:val>
          <c:smooth val="0"/>
        </c:ser>
        <c:ser>
          <c:idx val="2"/>
          <c:order val="2"/>
          <c:tx>
            <c:strRef>
              <c:f>[机构和学科排名汇总表.xls]潜力学科!$B$11</c:f>
              <c:strCache>
                <c:ptCount val="1"/>
                <c:pt idx="0">
                  <c:v>化学</c:v>
                </c:pt>
              </c:strCache>
            </c:strRef>
          </c:tx>
          <c:spPr>
            <a:ln w="28575" cap="rnd" cmpd="sng">
              <a:solidFill>
                <a:srgbClr val="75BD42"/>
              </a:solidFill>
              <a:prstDash val="solid"/>
              <a:round/>
            </a:ln>
            <a:effectLst/>
            <a:sp3d contourW="28575"/>
          </c:spPr>
          <c:marker>
            <c:symbol val="none"/>
          </c:marker>
          <c:dLbls>
            <c:dLbl>
              <c:idx val="0"/>
              <c:layout>
                <c:manualLayout>
                  <c:x val="0.00684306569343066"/>
                  <c:y val="-0.00939967414462965"/>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84306569343066"/>
                  <c:y val="-0.00375986965785186"/>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0375986965785186"/>
                </c:manualLayout>
              </c:layout>
              <c:dLblPos val="b"/>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3"/>
                    </a:solidFill>
                    <a:latin typeface="宋体" panose="02010600030101010101" charset="-122"/>
                    <a:ea typeface="宋体" panose="02010600030101010101" charset="-122"/>
                    <a:cs typeface="宋体" panose="02010600030101010101" charset="-122"/>
                    <a:sym typeface="宋体" panose="02010600030101010101" charset="-122"/>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[机构和学科排名汇总表.xls]潜力学科!$A$2:$A$6</c:f>
              <c:numCache>
                <c:formatCode>yyyy"年"m"月";@</c:formatCode>
                <c:ptCount val="5"/>
                <c:pt idx="0" c:formatCode="yyyy&quot;年&quot;m&quot;月&quot;;@">
                  <c:v>44986</c:v>
                </c:pt>
                <c:pt idx="1" c:formatCode="yyyy&quot;年&quot;m&quot;月&quot;;@">
                  <c:v>45047</c:v>
                </c:pt>
                <c:pt idx="2" c:formatCode="yyyy&quot;年&quot;m&quot;月&quot;;@">
                  <c:v>45108</c:v>
                </c:pt>
                <c:pt idx="3" c:formatCode="yyyy&quot;年&quot;m&quot;月&quot;;@">
                  <c:v>45170</c:v>
                </c:pt>
                <c:pt idx="4" c:formatCode="yyyy&quot;年&quot;m&quot;月&quot;;@">
                  <c:v>45231</c:v>
                </c:pt>
              </c:numCache>
            </c:numRef>
          </c:cat>
          <c:val>
            <c:numRef>
              <c:f>[机构和学科排名汇总表.xls]潜力学科!$F$7:$F$11</c:f>
              <c:numCache>
                <c:formatCode>0.00%</c:formatCode>
                <c:ptCount val="5"/>
                <c:pt idx="0">
                  <c:v>0.6693</c:v>
                </c:pt>
                <c:pt idx="1">
                  <c:v>0.687</c:v>
                </c:pt>
                <c:pt idx="2">
                  <c:v>0.7223</c:v>
                </c:pt>
                <c:pt idx="3">
                  <c:v>0.7756</c:v>
                </c:pt>
                <c:pt idx="4">
                  <c:v>0.8142</c:v>
                </c:pt>
              </c:numCache>
            </c:numRef>
          </c:val>
          <c:smooth val="0"/>
        </c:ser>
        <c:dLbls>
          <c:showLegendKey val="0"/>
          <c:showVal val="1"/>
          <c:showCatName val="0"/>
          <c:showSerName val="0"/>
          <c:showPercent val="0"/>
          <c:showBubbleSize val="0"/>
        </c:dLbls>
        <c:dropLines>
          <c:spPr>
            <a:ln w="9525" cap="flat" cmpd="sng" algn="ctr">
              <a:gradFill>
                <a:gsLst>
                  <a:gs pos="5000">
                    <a:schemeClr val="accent1"/>
                  </a:gs>
                  <a:gs pos="100000">
                    <a:schemeClr val="bg1"/>
                  </a:gs>
                </a:gsLst>
                <a:lin ang="5400000" scaled="1"/>
              </a:gradFill>
              <a:round/>
            </a:ln>
            <a:effectLst/>
          </c:spPr>
        </c:dropLines>
        <c:marker val="0"/>
        <c:smooth val="0"/>
        <c:axId val="266496822"/>
        <c:axId val="555813989"/>
      </c:lineChart>
      <c:dateAx>
        <c:axId val="266496822"/>
        <c:scaling>
          <c:orientation val="minMax"/>
        </c:scaling>
        <c:delete val="0"/>
        <c:axPos val="b"/>
        <c:numFmt formatCode="yyyy&quot;年&quot;m&quot;月&quot;;@"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1" i="0" u="none" strike="noStrike" kern="1200" baseline="0">
                <a:solidFill>
                  <a:schemeClr val="tx1">
                    <a:lumMod val="50000"/>
                    <a:lumOff val="50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555813989"/>
        <c:crosses val="autoZero"/>
        <c:auto val="1"/>
        <c:lblOffset val="100"/>
        <c:baseTimeUnit val="months"/>
        <c:majorUnit val="2"/>
        <c:majorTimeUnit val="months"/>
      </c:dateAx>
      <c:valAx>
        <c:axId val="555813989"/>
        <c:scaling>
          <c:orientation val="minMax"/>
        </c:scaling>
        <c:delete val="0"/>
        <c:axPos val="l"/>
        <c:numFmt formatCode="0.00%"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1" i="0" u="none" strike="noStrike" kern="1200" baseline="0">
                <a:solidFill>
                  <a:schemeClr val="tx1">
                    <a:lumMod val="50000"/>
                    <a:lumOff val="50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26649682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2"/>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ayout>
        <c:manualLayout>
          <c:xMode val="edge"/>
          <c:yMode val="edge"/>
          <c:x val="0.229239484150898"/>
          <c:y val="0.937417218543046"/>
        </c:manualLayout>
      </c:layout>
      <c:overlay val="0"/>
      <c:spPr>
        <a:noFill/>
        <a:ln>
          <a:noFill/>
        </a:ln>
        <a:effectLst/>
      </c:spPr>
      <c:txPr>
        <a:bodyPr rot="0" spcFirstLastPara="0" vertOverflow="ellipsis" vert="horz" wrap="square" anchor="ctr" anchorCtr="1" forceAA="0"/>
        <a:lstStyle/>
        <a:p>
          <a:pPr>
            <a:defRPr lang="zh-CN" sz="900" b="1"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
    <c:plotVisOnly val="1"/>
    <c:dispBlanksAs val="gap"/>
    <c:showDLblsOverMax val="0"/>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b="1">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25000"/>
            <a:lumOff val="7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19050"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spPr>
      <a:ln w="9525" cap="flat" cmpd="sng" algn="ctr">
        <a:solidFill>
          <a:sysClr val="windowText" lastClr="000000">
            <a:lumMod val="25000"/>
            <a:lumOff val="75000"/>
          </a:sysClr>
        </a:solidFill>
        <a:round/>
      </a:ln>
    </cs:spPr>
    <cs:defRPr sz="900" kern="1200"/>
  </cs:valueAxis>
  <cs:wall>
    <cs:lnRef idx="0"/>
    <cs:fillRef idx="0"/>
    <cs:effectRef idx="0"/>
    <cs:fontRef idx="minor">
      <a:sysClr val="windowText" lastClr="000000"/>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8】">
    <a:dk1>
      <a:srgbClr val="000000"/>
    </a:dk1>
    <a:lt1>
      <a:srgbClr val="FFFFFF"/>
    </a:lt1>
    <a:dk2>
      <a:srgbClr val="0C0E1F"/>
    </a:dk2>
    <a:lt2>
      <a:srgbClr val="FEFFFF"/>
    </a:lt2>
    <a:accent1>
      <a:srgbClr val="3875FF"/>
    </a:accent1>
    <a:accent2>
      <a:srgbClr val="FCBE00"/>
    </a:accent2>
    <a:accent3>
      <a:srgbClr val="73A1FF"/>
    </a:accent3>
    <a:accent4>
      <a:srgbClr val="83D8FF"/>
    </a:accent4>
    <a:accent5>
      <a:srgbClr val="FC9400"/>
    </a:accent5>
    <a:accent6>
      <a:srgbClr val="0093F0"/>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8】">
    <a:dk1>
      <a:srgbClr val="000000"/>
    </a:dk1>
    <a:lt1>
      <a:srgbClr val="FFFFFF"/>
    </a:lt1>
    <a:dk2>
      <a:srgbClr val="0C0E1F"/>
    </a:dk2>
    <a:lt2>
      <a:srgbClr val="FEFFFF"/>
    </a:lt2>
    <a:accent1>
      <a:srgbClr val="3875FF"/>
    </a:accent1>
    <a:accent2>
      <a:srgbClr val="FCBE00"/>
    </a:accent2>
    <a:accent3>
      <a:srgbClr val="73A1FF"/>
    </a:accent3>
    <a:accent4>
      <a:srgbClr val="83D8FF"/>
    </a:accent4>
    <a:accent5>
      <a:srgbClr val="FC9400"/>
    </a:accent5>
    <a:accent6>
      <a:srgbClr val="0093F0"/>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8】">
    <a:dk1>
      <a:srgbClr val="000000"/>
    </a:dk1>
    <a:lt1>
      <a:srgbClr val="FFFFFF"/>
    </a:lt1>
    <a:dk2>
      <a:srgbClr val="0C0E1F"/>
    </a:dk2>
    <a:lt2>
      <a:srgbClr val="FEFFFF"/>
    </a:lt2>
    <a:accent1>
      <a:srgbClr val="3875FF"/>
    </a:accent1>
    <a:accent2>
      <a:srgbClr val="FCBE00"/>
    </a:accent2>
    <a:accent3>
      <a:srgbClr val="73A1FF"/>
    </a:accent3>
    <a:accent4>
      <a:srgbClr val="83D8FF"/>
    </a:accent4>
    <a:accent5>
      <a:srgbClr val="FC9400"/>
    </a:accent5>
    <a:accent6>
      <a:srgbClr val="0093F0"/>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8】">
    <a:dk1>
      <a:srgbClr val="000000"/>
    </a:dk1>
    <a:lt1>
      <a:srgbClr val="FFFFFF"/>
    </a:lt1>
    <a:dk2>
      <a:srgbClr val="0C0E1F"/>
    </a:dk2>
    <a:lt2>
      <a:srgbClr val="FEFFFF"/>
    </a:lt2>
    <a:accent1>
      <a:srgbClr val="3875FF"/>
    </a:accent1>
    <a:accent2>
      <a:srgbClr val="FCBE00"/>
    </a:accent2>
    <a:accent3>
      <a:srgbClr val="73A1FF"/>
    </a:accent3>
    <a:accent4>
      <a:srgbClr val="83D8FF"/>
    </a:accent4>
    <a:accent5>
      <a:srgbClr val="FC9400"/>
    </a:accent5>
    <a:accent6>
      <a:srgbClr val="0093F0"/>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52867B-6C49-4711-A197-C29ED213A7ED}">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5853</Words>
  <Characters>12374</Characters>
  <Lines>129</Lines>
  <Paragraphs>36</Paragraphs>
  <TotalTime>88</TotalTime>
  <ScaleCrop>false</ScaleCrop>
  <LinksUpToDate>false</LinksUpToDate>
  <CharactersWithSpaces>13177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2022-01-06T08:46:00Z</dcterms:created>
  <dc:creator>Windows 用户</dc:creator>
  <cp:lastModifiedBy>X</cp:lastModifiedBy>
  <cp:lastPrinted>2023-04-26T03:15:00Z</cp:lastPrinted>
  <dcterms:modified xsi:type="dcterms:W3CDTF">2023-12-25T07:37:50Z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D5824B588D754315B4E8E4C5D15A102E_13</vt:lpwstr>
  </property>
</Properties>
</file>